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83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833"/>
        <w:jc w:val="center"/>
        <w:rPr>
          <w:rFonts w:ascii="Times New Roman" w:hAnsi="Times New Roman" w:cs="Times New Roman"/>
          <w:b/>
          <w:sz w:val="26"/>
          <w:szCs w:val="26"/>
        </w:rPr>
      </w:pPr>
      <w:r/>
      <w:bookmarkStart w:id="0" w:name="P439"/>
      <w:r/>
      <w:bookmarkEnd w:id="0"/>
      <w:r>
        <w:rPr>
          <w:rFonts w:ascii="Times New Roman" w:hAnsi="Times New Roman" w:cs="Times New Roman"/>
          <w:b/>
          <w:sz w:val="26"/>
          <w:szCs w:val="26"/>
        </w:rPr>
        <w:t xml:space="preserve">Сводный отчет</w:t>
      </w:r>
      <w:r/>
    </w:p>
    <w:p>
      <w:pPr>
        <w:pStyle w:val="83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результатах проведения оценки регулирующего воздействия</w:t>
      </w:r>
      <w:r/>
    </w:p>
    <w:p>
      <w:pPr>
        <w:pStyle w:val="83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проекта нормативного правового акта</w:t>
      </w:r>
      <w:r/>
    </w:p>
    <w:p>
      <w:pPr>
        <w:pStyle w:val="83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1. Общая информация: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  <w:lang w:eastAsia="ru-RU"/>
        </w:rPr>
        <w:t xml:space="preserve">1.1. Орган-разработчик: </w:t>
      </w:r>
      <w:r>
        <w:rPr>
          <w:rFonts w:ascii="Times New Roman" w:hAnsi="Times New Roman" w:eastAsia="Calibri" w:cs="Times New Roman"/>
          <w:sz w:val="26"/>
          <w:szCs w:val="26"/>
        </w:rPr>
        <w:t xml:space="preserve">департамент развития отраслей сельского хозяйства министерства сельского хозяйства и продовольствия Белгородской области.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  <w:lang w:eastAsia="ru-RU"/>
        </w:rPr>
        <w:t xml:space="preserve">1.2. Вид и наименование проекта нормативного правового акта: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проект постановления Правительства Белгородской области </w:t>
      </w:r>
      <w:r>
        <w:rPr>
          <w:rFonts w:ascii="Times New Roman" w:hAnsi="Times New Roman"/>
          <w:sz w:val="26"/>
          <w:szCs w:val="26"/>
        </w:rPr>
        <w:t xml:space="preserve">«О внесении изменений </w:t>
        <w:br/>
        <w:t xml:space="preserve">в постановление Правительства Белгородской области от 05 ноября 2024 года </w:t>
        <w:br/>
        <w:t xml:space="preserve">№ 519-пп</w:t>
      </w:r>
      <w:r>
        <w:rPr>
          <w:sz w:val="26"/>
          <w:szCs w:val="26"/>
          <w:lang w:val="ru-RU"/>
        </w:rPr>
        <w:t xml:space="preserve">».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1.3. Сроки проведения публичного обсуждения проекта </w:t>
      </w:r>
      <w:r>
        <w:rPr>
          <w:rFonts w:ascii="Times New Roman" w:hAnsi="Times New Roman" w:eastAsia="Times New Roman" w:cs="Times New Roman"/>
          <w:bCs/>
          <w:sz w:val="26"/>
          <w:szCs w:val="26"/>
        </w:rPr>
        <w:t xml:space="preserve">нормативного правового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акта: начало: «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29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июля 202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6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г., окончание «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11»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августа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6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г.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tabs>
          <w:tab w:val="left" w:pos="1616" w:leader="none"/>
          <w:tab w:val="left" w:pos="8351" w:leader="none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1.4. Степень регулирующего воздействия проекта нормативного правового акта: </w:t>
      </w:r>
      <w:r>
        <w:rPr>
          <w:rFonts w:ascii="Times New Roman" w:hAnsi="Times New Roman" w:eastAsia="Calibri" w:cs="Times New Roman"/>
          <w:b/>
          <w:bCs/>
          <w:sz w:val="26"/>
          <w:szCs w:val="26"/>
        </w:rPr>
        <w:t xml:space="preserve">средняя.</w:t>
      </w:r>
      <w:r>
        <w:rPr>
          <w:rFonts w:ascii="Times New Roman" w:hAnsi="Times New Roman" w:eastAsia="Calibri" w:cs="Times New Roman"/>
          <w:sz w:val="26"/>
          <w:szCs w:val="26"/>
        </w:rPr>
        <w:t xml:space="preserve"> Проект нормативного правового акта содержит положения, изменяющие условия предоставления субсидии из областного бюджета сельскохозяйственным товаропроизводителям по возмещению части затрат на </w:t>
      </w:r>
      <w:r>
        <w:rPr>
          <w:rFonts w:ascii="Times New Roman" w:hAnsi="Times New Roman"/>
          <w:sz w:val="26"/>
          <w:szCs w:val="26"/>
        </w:rPr>
        <w:t xml:space="preserve">возмещение части затрат </w:t>
        <w:br/>
      </w:r>
      <w:r>
        <w:rPr>
          <w:rFonts w:ascii="Times New Roman" w:hAnsi="Times New Roman"/>
          <w:sz w:val="26"/>
          <w:szCs w:val="26"/>
        </w:rPr>
        <w:t xml:space="preserve">на закладку, и (или) уход, и (или) раскорчевку многолетних насаждений</w:t>
      </w:r>
      <w:r>
        <w:rPr>
          <w:rFonts w:ascii="Times New Roman" w:hAnsi="Times New Roman" w:cs="Times New Roman"/>
          <w:sz w:val="26"/>
          <w:szCs w:val="26"/>
        </w:rPr>
        <w:t xml:space="preserve">, предусмотренные 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Белгородской области </w:t>
      </w:r>
      <w:r>
        <w:rPr>
          <w:rFonts w:ascii="Times New Roman" w:hAnsi="Times New Roman"/>
          <w:sz w:val="26"/>
          <w:szCs w:val="26"/>
        </w:rPr>
        <w:t xml:space="preserve">от 05 ноября 2024 года № 519-пп «Об утверждении </w:t>
      </w:r>
      <w:r>
        <w:rPr>
          <w:rFonts w:ascii="Times New Roman" w:hAnsi="Times New Roman"/>
          <w:sz w:val="26"/>
          <w:szCs w:val="26"/>
        </w:rPr>
        <w:t xml:space="preserve">Порядка  предоставления субсидии из областного бюджета сельскохозяйственным товаропроизводителям Белгородской области на возмещение части затрат </w:t>
      </w:r>
      <w:r>
        <w:rPr>
          <w:rFonts w:ascii="Times New Roman" w:hAnsi="Times New Roman"/>
          <w:sz w:val="26"/>
          <w:szCs w:val="26"/>
        </w:rPr>
        <w:t xml:space="preserve">на закладку, и (или) уход, и (или) раскорчевку многолетних насаждений</w:t>
      </w:r>
      <w:r>
        <w:rPr>
          <w:sz w:val="26"/>
          <w:szCs w:val="26"/>
          <w:lang w:val="ru-RU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ab/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1.5. Контактная информация об исполнителе в органе-разработчике: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Ф.И.О.: Подгорный Александр Николаевич.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Должность: </w:t>
      </w:r>
      <w:bookmarkStart w:id="1" w:name="_Hlk159860577"/>
      <w:r>
        <w:rPr>
          <w:rFonts w:ascii="Times New Roman" w:hAnsi="Times New Roman" w:eastAsia="Times New Roman" w:cs="Times New Roman"/>
          <w:sz w:val="26"/>
          <w:szCs w:val="26"/>
        </w:rPr>
        <w:t xml:space="preserve">начальник отдела развития отраслей растениеводства, мелиорации и механизации департамента развития отраслей сельского хозяйства министерства сельского хозяйства и продовольствия Белгородской области</w:t>
      </w:r>
      <w:bookmarkEnd w:id="1"/>
      <w:r/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Тел.: 8 (4722) 24-76-07. Адрес электронной почты: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shevchenko</w:t>
      </w:r>
      <w:r>
        <w:rPr>
          <w:rFonts w:ascii="Times New Roman" w:hAnsi="Times New Roman" w:cs="Times New Roman"/>
          <w:sz w:val="26"/>
          <w:szCs w:val="26"/>
        </w:rPr>
        <w:t xml:space="preserve">_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ns</w:t>
      </w:r>
      <w:r>
        <w:rPr>
          <w:rFonts w:ascii="Times New Roman" w:hAnsi="Times New Roman" w:cs="Times New Roman"/>
          <w:sz w:val="26"/>
          <w:szCs w:val="26"/>
        </w:rPr>
        <w:t xml:space="preserve">@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belgov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ru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2. Описание проблемы, на решение которой направлено вводимое правовое регулирование: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2.1. Проблема, на решение которой направлен предлагаемый способ правового регулирования: </w:t>
      </w:r>
      <w:r>
        <w:rPr>
          <w:highlight w:val="non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- отсутствие конкретизации в предоставлении первичных документов.</w:t>
      </w:r>
      <w:r>
        <w:rPr>
          <w:highlight w:val="none"/>
        </w:rPr>
      </w:r>
      <w:r/>
    </w:p>
    <w:p>
      <w:pPr>
        <w:ind w:firstLine="709"/>
        <w:jc w:val="both"/>
        <w:spacing w:before="0" w:beforeAutospacing="0"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2.2. Информация о возникновении и выявлении проблемы: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предоставление неполного комплекта документов.</w:t>
      </w:r>
      <w:r>
        <w:rPr>
          <w:highlight w:val="none"/>
        </w:rPr>
      </w:r>
      <w:r/>
    </w:p>
    <w:p>
      <w:pPr>
        <w:ind w:firstLine="709"/>
        <w:jc w:val="both"/>
        <w:spacing w:before="0" w:beforeAutospacing="0"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2.3. 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Негативные эффекты, возникающие в связи с наличием рассматриваемой </w:t>
      </w:r>
      <w:r>
        <w:rPr>
          <w:highlight w:val="none"/>
        </w:rPr>
      </w:r>
      <w:r/>
    </w:p>
    <w:p>
      <w:pPr>
        <w:ind w:firstLine="709"/>
        <w:jc w:val="both"/>
        <w:spacing w:before="0" w:beforeAutospacing="0" w:after="0" w:line="240" w:lineRule="auto"/>
        <w:rPr>
          <w:rFonts w:ascii="Times New Roman" w:hAnsi="Times New Roman" w:eastAsia="Calibri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проблем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ы: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предоставление неполного комплекта документов, в связи с отсутствием конкретизации по первичным документам. </w:t>
      </w:r>
      <w:r>
        <w:rPr>
          <w:highlight w:val="none"/>
        </w:rPr>
      </w:r>
      <w:r/>
    </w:p>
    <w:p>
      <w:pPr>
        <w:ind w:firstLine="709"/>
        <w:jc w:val="both"/>
        <w:spacing w:before="0" w:beforeAutospacing="0"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2.4. Анализ опыта иных субъектов Российской Федерации </w:t>
      </w:r>
      <w:r>
        <w:rPr>
          <w:rFonts w:ascii="Times New Roman" w:hAnsi="Times New Roman" w:eastAsia="Calibri" w:cs="Times New Roman"/>
          <w:sz w:val="26"/>
          <w:szCs w:val="26"/>
        </w:rPr>
        <w:br/>
        <w:t xml:space="preserve">в соответствующих сферах деятельности:</w:t>
      </w:r>
      <w:r/>
    </w:p>
    <w:p>
      <w:pPr>
        <w:ind w:left="0" w:right="0" w:firstLine="709"/>
        <w:jc w:val="both"/>
        <w:spacing w:before="0" w:beforeAutospacing="0" w:after="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</w:rPr>
        <w:t xml:space="preserve">- Постановление Правительства Тамбовской области от 16.02.2024 № 80 «Об утверждении Правил предоставления субсидий за счет средств федерального бюджета и бюджета Тамбовской области на возмещение (финансовое обеспечение) части затрат на закладку и (или) ухо</w:t>
      </w:r>
      <w:r>
        <w:rPr>
          <w:rFonts w:ascii="Times New Roman" w:hAnsi="Times New Roman" w:eastAsia="Times New Roman" w:cs="Times New Roman"/>
          <w:color w:val="000000"/>
          <w:sz w:val="26"/>
        </w:rPr>
        <w:t xml:space="preserve">д за многолетними насаждениями, включая питомники, в рамках регионального проекта «Развитие отраслей и техническая модернизация агропромышленного комплекса».</w:t>
      </w:r>
      <w:r>
        <w:rPr>
          <w:sz w:val="22"/>
        </w:rPr>
      </w:r>
      <w:r/>
    </w:p>
    <w:p>
      <w:pPr>
        <w:ind w:left="0" w:right="0" w:firstLine="709"/>
        <w:jc w:val="both"/>
        <w:spacing w:before="0" w:beforeAutospacing="0" w:after="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</w:rPr>
        <w:t xml:space="preserve">3.Цели вводимого правового регулирования и измеримые показатели их достижения:</w:t>
      </w:r>
      <w:r/>
    </w:p>
    <w:p>
      <w:pPr>
        <w:ind w:left="0" w:right="0" w:firstLine="709"/>
        <w:jc w:val="both"/>
        <w:spacing w:before="0" w:beforeAutospacing="0" w:after="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</w:rPr>
        <w:t xml:space="preserve">3.1. Описание целей предлагаемого правового регулирования:</w:t>
      </w:r>
      <w:r/>
    </w:p>
    <w:p>
      <w:pPr>
        <w:ind w:left="0" w:right="0" w:firstLine="709"/>
        <w:jc w:val="both"/>
        <w:spacing w:before="0" w:beforeAutospacing="0" w:after="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</w:rPr>
        <w:t xml:space="preserve">стимулирование с/х товаропроизводителей на закладку и уход за плодово-ягодными насаждениями с целью получения устойчивых и высоких урожаев сельскохозяйственных культур. </w:t>
      </w:r>
      <w:r/>
    </w:p>
    <w:p>
      <w:pPr>
        <w:ind w:left="0" w:right="0" w:firstLine="709"/>
        <w:jc w:val="both"/>
        <w:spacing w:before="0" w:beforeAutospacing="0" w:after="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</w:rPr>
        <w:t xml:space="preserve">3.2. Обоснование соответствия целей предлагаемого правового регулирования принципам правового регулирования:</w:t>
      </w:r>
      <w:r/>
    </w:p>
    <w:p>
      <w:pPr>
        <w:ind w:left="0" w:right="0" w:firstLine="709"/>
        <w:jc w:val="both"/>
        <w:spacing w:before="0" w:beforeAutospacing="0" w:after="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6"/>
        </w:rPr>
        <w:t xml:space="preserve">Проект нормативного правового акта разработан в соответствии с Постановлением Правительства Российской Федерации от 25 октября 2023 года N 1782 "Об утверждении общих требований к нормативным правовым актам, муниципальным правовым актам, регулирующим предос</w:t>
      </w:r>
      <w:r>
        <w:rPr>
          <w:rFonts w:ascii="Times New Roman" w:hAnsi="Times New Roman" w:eastAsia="Times New Roman" w:cs="Times New Roman"/>
          <w:color w:val="000000"/>
          <w:sz w:val="26"/>
        </w:rPr>
        <w:t xml:space="preserve">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</w:t>
      </w:r>
      <w:r>
        <w:rPr>
          <w:rFonts w:ascii="Times New Roman" w:hAnsi="Times New Roman" w:eastAsia="Times New Roman" w:cs="Times New Roman"/>
          <w:color w:val="000000"/>
          <w:sz w:val="26"/>
        </w:rPr>
        <w:t xml:space="preserve">олучателей указанных субсидий, в том числе грантов в форме субсидий", Государственной программой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</w:t>
      </w:r>
      <w:r>
        <w:rPr>
          <w:rFonts w:ascii="Times New Roman" w:hAnsi="Times New Roman" w:eastAsia="Times New Roman" w:cs="Times New Roman"/>
          <w:color w:val="000000"/>
          <w:sz w:val="26"/>
        </w:rPr>
        <w:t xml:space="preserve">й Федерации от 14 июля 2012 года № 717 «О Государственной программе развития сельского хозяйства и регулирования рынков сельскохозяйственной продукции, сырья и продовольствия».</w:t>
      </w:r>
      <w:r>
        <w:rPr>
          <w:sz w:val="22"/>
        </w:rPr>
      </w:r>
      <w:r/>
    </w:p>
    <w:p>
      <w:pPr>
        <w:ind w:firstLine="709"/>
        <w:jc w:val="both"/>
        <w:spacing w:before="0" w:beforeAutospacing="0"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3.3. Сроки достижения целей предлагаемого правового регулирования:</w:t>
      </w:r>
      <w:r/>
    </w:p>
    <w:p>
      <w:pPr>
        <w:ind w:firstLine="709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Декабрь 202</w:t>
      </w:r>
      <w:r>
        <w:rPr>
          <w:rFonts w:ascii="Times New Roman" w:hAnsi="Times New Roman" w:eastAsia="Calibri" w:cs="Times New Roman"/>
          <w:sz w:val="26"/>
          <w:szCs w:val="26"/>
        </w:rPr>
        <w:t xml:space="preserve">6</w:t>
      </w:r>
      <w:r>
        <w:rPr>
          <w:rFonts w:ascii="Times New Roman" w:hAnsi="Times New Roman" w:eastAsia="Calibri" w:cs="Times New Roman"/>
          <w:sz w:val="26"/>
          <w:szCs w:val="26"/>
        </w:rPr>
        <w:t xml:space="preserve"> год.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3.4.</w:t>
      </w:r>
      <w:r>
        <w:rPr>
          <w:rFonts w:ascii="Times New Roman" w:hAnsi="Times New Roman" w:eastAsia="Calibri" w:cs="Times New Roman"/>
          <w:sz w:val="26"/>
          <w:szCs w:val="26"/>
          <w:lang w:val="en-US"/>
        </w:rPr>
        <w:t xml:space="preserve"> </w:t>
      </w:r>
      <w:r>
        <w:rPr>
          <w:rFonts w:ascii="Times New Roman" w:hAnsi="Times New Roman" w:eastAsia="Calibri" w:cs="Times New Roman"/>
          <w:sz w:val="26"/>
          <w:szCs w:val="26"/>
        </w:rPr>
        <w:t xml:space="preserve">Иная информация о целях предлагаемого правового регулирования: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Отсутствует</w:t>
      </w:r>
      <w:r/>
    </w:p>
    <w:p>
      <w:pPr>
        <w:contextualSpacing/>
        <w:ind w:left="709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4. Описание пр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едлагаемого правового регулирования:</w:t>
      </w:r>
      <w:r>
        <w:rPr>
          <w:rFonts w:ascii="Times New Roman" w:hAnsi="Times New Roman" w:cs="Times New Roman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4.1. Описание предлагаемого способа решения проблемы и преодоления связанны</w:t>
      </w:r>
      <w:r>
        <w:rPr>
          <w:rFonts w:ascii="Times New Roman" w:hAnsi="Times New Roman" w:eastAsia="Calibri" w:cs="Times New Roman"/>
          <w:sz w:val="26"/>
          <w:szCs w:val="26"/>
        </w:rPr>
        <w:t xml:space="preserve">х с ней негативных эффектов: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Проектом постановления Правительства Белгородской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области: 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b w:val="0"/>
          <w:bCs w:val="0"/>
          <w:sz w:val="26"/>
          <w:szCs w:val="26"/>
          <w:highlight w:val="none"/>
        </w:rPr>
        <w:t xml:space="preserve">1)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вносятся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 изменения 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в </w:t>
      </w:r>
      <w:r>
        <w:rPr>
          <w:rFonts w:ascii="Times New Roman" w:hAnsi="Times New Roman" w:cs="Times New Roman"/>
          <w:bCs/>
          <w:iCs/>
          <w:sz w:val="26"/>
          <w:szCs w:val="26"/>
          <w:highlight w:val="none"/>
        </w:rPr>
        <w:t xml:space="preserve">Порядок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  <w:t xml:space="preserve"> предоставления субсидии из областного бюджета сельскохозяйственным товаропроизводителям на возмещение части затрат </w:t>
      </w:r>
      <w:r>
        <w:rPr>
          <w:rFonts w:ascii="Times New Roman" w:hAnsi="Times New Roman" w:cs="Times New Roman"/>
          <w:sz w:val="26"/>
          <w:szCs w:val="26"/>
        </w:rPr>
        <w:t xml:space="preserve">на закладку, и (или) уход, и (или) раскорчевку многолетних насаждений</w:t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, в части: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-  вводится обязательное условие наличия у получателей средств на земельном участке, на котором осуществляется закладка и (или) уходные работы за многолетними плодово-ягодными насаждениями, стационарной системы полива;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9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- расширения категории участников отбора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: участниками отбора могут быть научные и образовательные организации </w:t>
      </w:r>
      <w:r>
        <w:rPr>
          <w:rFonts w:ascii="Times New Roman" w:hAnsi="Times New Roman" w:cs="Times New Roman"/>
          <w:sz w:val="26"/>
          <w:szCs w:val="26"/>
        </w:rPr>
        <w:t xml:space="preserve">которые в процессе научной, научно-те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хнической и (или) образовательной деятельности осуществляют производство сел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ьскохозяйственной продукции, ее первичную и последующую (промышленную) переработку в соответствии с перечнем, указанным в части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1 статьи 3 Федерального закона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 29 декабря 2006 года № 264-ФЗ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«О развитии сельского хозяйства»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</w:r>
      <w:r/>
    </w:p>
    <w:p>
      <w:pPr>
        <w:ind w:firstLine="709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</w:r>
      <w:r>
        <w:rPr>
          <w:rFonts w:ascii="Times New Roman" w:hAnsi="Times New Roman" w:eastAsia="Calibri" w:cs="Times New Roman"/>
          <w:sz w:val="26"/>
          <w:szCs w:val="26"/>
          <w:highlight w:val="none"/>
        </w:rPr>
        <w:t xml:space="preserve">- п</w:t>
      </w:r>
      <w:r>
        <w:rPr>
          <w:rFonts w:ascii="Times New Roman" w:hAnsi="Times New Roman" w:eastAsia="PT Serif" w:cs="Times New Roman"/>
          <w:color w:val="000000" w:themeColor="text1"/>
          <w:sz w:val="26"/>
          <w:szCs w:val="26"/>
          <w:highlight w:val="white"/>
        </w:rPr>
        <w:t xml:space="preserve">еречень документов, прилагаемых к заявке на участие в отборе для предоставления субсидии на возмещение части затрат на закладку, и (или) уход, и (или) раскорчевку многолетних насаждений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  <w:t xml:space="preserve"> дополняется следующими документами:</w:t>
      </w:r>
      <w:r>
        <w:rPr>
          <w:sz w:val="26"/>
          <w:szCs w:val="26"/>
        </w:rPr>
      </w:r>
      <w:r/>
    </w:p>
    <w:p>
      <w:pPr>
        <w:ind w:firstLine="709"/>
        <w:jc w:val="both"/>
        <w:spacing w:after="0" w:line="240" w:lineRule="auto"/>
        <w:widowControl w:val="off"/>
        <w:rPr>
          <w:sz w:val="26"/>
          <w:szCs w:val="26"/>
        </w:rPr>
      </w:pPr>
      <w:r>
        <w:rPr>
          <w:rFonts w:ascii="Times New Roman" w:hAnsi="Times New Roman" w:eastAsia="PT Serif" w:cs="Times New Roman"/>
          <w:color w:val="000000" w:themeColor="text1"/>
          <w:sz w:val="26"/>
          <w:szCs w:val="26"/>
          <w:highlight w:val="none"/>
        </w:rPr>
      </w:r>
      <w:r>
        <w:rPr>
          <w:rFonts w:ascii="Times New Roman" w:hAnsi="Times New Roman" w:eastAsia="Liberation Sans" w:cs="Times New Roman"/>
          <w:color w:val="000000" w:themeColor="text1"/>
          <w:sz w:val="26"/>
          <w:szCs w:val="26"/>
        </w:rPr>
        <w:t xml:space="preserve">копией паспорта мелиоративной системы, на которой осуществлена </w:t>
      </w:r>
      <w:r>
        <w:rPr>
          <w:rFonts w:ascii="Times New Roman" w:hAnsi="Times New Roman" w:eastAsia="Liberation Sans" w:cs="Times New Roman"/>
          <w:color w:val="000000" w:themeColor="text1"/>
          <w:sz w:val="26"/>
          <w:szCs w:val="26"/>
        </w:rPr>
        <w:t xml:space="preserve">закл</w:t>
      </w:r>
      <w:r>
        <w:rPr>
          <w:rFonts w:ascii="Times New Roman" w:hAnsi="Times New Roman" w:eastAsia="Liberation Sans" w:cs="Times New Roman"/>
          <w:color w:val="000000" w:themeColor="text1"/>
          <w:sz w:val="26"/>
          <w:szCs w:val="26"/>
          <w:highlight w:val="white"/>
        </w:rPr>
        <w:t xml:space="preserve">адка многолетних насаждений и (или) проведены уходные работы </w:t>
        <w:br/>
      </w:r>
      <w:r>
        <w:rPr>
          <w:rFonts w:ascii="Times New Roman" w:hAnsi="Times New Roman" w:eastAsia="Liberation Sans" w:cs="Times New Roman"/>
          <w:color w:val="000000" w:themeColor="text1"/>
          <w:sz w:val="26"/>
          <w:szCs w:val="26"/>
          <w:highlight w:val="white"/>
        </w:rPr>
        <w:t xml:space="preserve">за многолетними насаждениями, утвержденного ФГБУ «Управление </w:t>
      </w:r>
      <w:r>
        <w:rPr>
          <w:rFonts w:ascii="Times New Roman" w:hAnsi="Times New Roman" w:eastAsia="Liberation Sans" w:cs="Times New Roman"/>
          <w:color w:val="000000" w:themeColor="text1"/>
          <w:sz w:val="26"/>
          <w:szCs w:val="26"/>
          <w:highlight w:val="white"/>
        </w:rPr>
        <w:t xml:space="preserve">Белгородмелиоводхоз».»;</w:t>
      </w:r>
      <w:r>
        <w:rPr>
          <w:sz w:val="26"/>
          <w:szCs w:val="26"/>
        </w:rPr>
      </w:r>
      <w:r/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Liberation Sans" w:cs="Times New Roman"/>
          <w:color w:val="000000" w:themeColor="text1"/>
          <w:sz w:val="26"/>
          <w:szCs w:val="26"/>
          <w:highlight w:val="white"/>
        </w:rPr>
      </w:pP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6"/>
          <w:szCs w:val="26"/>
          <w:highlight w:val="white"/>
        </w:rPr>
        <w:t xml:space="preserve">копией 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6"/>
          <w:szCs w:val="26"/>
          <w:highlight w:val="white"/>
        </w:rPr>
        <w:t xml:space="preserve">акта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6"/>
          <w:szCs w:val="26"/>
          <w:highlight w:val="white"/>
        </w:rPr>
        <w:t xml:space="preserve">приемки многолетних плодово-ягодных насаждений первого года вегетации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6"/>
          <w:szCs w:val="26"/>
          <w:highlight w:val="white"/>
        </w:rPr>
        <w:t xml:space="preserve">, заложенного в текущем году либо в отчетном финансовом году (при закладке)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6"/>
          <w:szCs w:val="26"/>
          <w:highlight w:val="white"/>
        </w:rPr>
        <w:t xml:space="preserve">, и (или) а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6"/>
          <w:szCs w:val="26"/>
          <w:highlight w:val="white"/>
        </w:rPr>
        <w:t xml:space="preserve">кта перевода многолетних плодово-ягодных насаждений в старшую возрастную группу и (или) ввода в эксплуата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6"/>
          <w:szCs w:val="26"/>
          <w:highlight w:val="white"/>
        </w:rPr>
        <w:t xml:space="preserve">цию молодых насаждени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и</w:t>
      </w:r>
      <w:r>
        <w:rPr>
          <w:rFonts w:ascii="Times New Roman" w:hAnsi="Times New Roman" w:eastAsia="Cousine" w:cs="Times New Roman"/>
          <w:b w:val="0"/>
          <w:bCs w:val="0"/>
          <w:color w:val="000000" w:themeColor="text1"/>
          <w:sz w:val="26"/>
          <w:szCs w:val="26"/>
          <w:highlight w:val="none"/>
        </w:rPr>
        <w:t xml:space="preserve">;».</w:t>
      </w:r>
      <w:r>
        <w:rPr>
          <w:rFonts w:ascii="Times New Roman" w:hAnsi="Times New Roman" w:eastAsia="Liberation Sans" w:cs="Times New Roman"/>
          <w:b w:val="0"/>
          <w:bCs w:val="0"/>
          <w:color w:val="000000" w:themeColor="text1"/>
          <w:sz w:val="26"/>
          <w:szCs w:val="26"/>
          <w:highlight w:val="white"/>
        </w:rPr>
      </w:r>
      <w:r/>
    </w:p>
    <w:p>
      <w:pPr>
        <w:ind w:firstLine="709"/>
        <w:jc w:val="both"/>
        <w:spacing w:after="0" w:line="283" w:lineRule="atLeast"/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lang w:eastAsia="ru-RU"/>
        </w:rPr>
        <w:t xml:space="preserve">4.2. Альтернативные варианты решения проблемы: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lang w:eastAsia="ru-RU"/>
        </w:rPr>
        <w:t xml:space="preserve">осуществление 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  <w:t xml:space="preserve">сельскохозяйственными товаропроизводителям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lang w:eastAsia="ru-RU"/>
        </w:rPr>
        <w:t xml:space="preserve">и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  <w:t xml:space="preserve">закладки и (или) уходных работ за многолетними насаждениями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lang w:eastAsia="ru-RU"/>
        </w:rPr>
        <w:t xml:space="preserve"> за </w:t>
      </w:r>
      <w:r>
        <w:rPr>
          <w:rFonts w:ascii="Times New Roman" w:hAnsi="Times New Roman" w:eastAsia="Calibri" w:cs="Times New Roman"/>
          <w:color w:val="000000" w:themeColor="text1"/>
          <w:sz w:val="26"/>
          <w:szCs w:val="26"/>
          <w:highlight w:val="none"/>
        </w:rPr>
        <w:t xml:space="preserve">счет собственных или заемных (кредитных) средств.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:lang w:eastAsia="ru-RU"/>
        </w:rPr>
        <w:tab/>
      </w:r>
      <w:r>
        <w:rPr>
          <w:sz w:val="26"/>
          <w:szCs w:val="26"/>
        </w:rPr>
      </w:r>
      <w:r/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</w:pPr>
      <w:r>
        <w:rPr>
          <w:rFonts w:ascii="Times New Roman" w:hAnsi="Times New Roman" w:eastAsia="Calibri" w:cs="Times New Roman"/>
          <w:color w:val="000000" w:themeColor="text1"/>
          <w:sz w:val="26"/>
          <w:szCs w:val="26"/>
          <w:highlight w:val="none"/>
        </w:rPr>
        <w:t xml:space="preserve">4.3. Обоснование выбора предлагаемого способа решения проблемы: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highlight w:val="non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sz w:val="26"/>
          <w:szCs w:val="26"/>
        </w:rPr>
        <w:t xml:space="preserve">Так, нап</w:t>
      </w:r>
      <w:r>
        <w:rPr>
          <w:rFonts w:ascii="Times New Roman" w:hAnsi="Times New Roman" w:eastAsia="Calibri" w:cs="Times New Roman"/>
          <w:sz w:val="26"/>
          <w:szCs w:val="26"/>
        </w:rPr>
        <w:t xml:space="preserve">ример, при минимальном размере субсидии в сумме 300 тыс. руб. в случае привлечения заемных средств в вышеуказанной сумме (под процентную ставку в размере 5% (в сфере АПК) на 12 месяцев переплата товаропроизводителя составит </w:t>
        <w:br/>
        <w:t xml:space="preserve">8,2 тыс. руб.</w:t>
      </w:r>
      <w:r>
        <w:rPr>
          <w:rFonts w:ascii="Times New Roman" w:hAnsi="Times New Roman" w:eastAsia="Calibri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sz w:val="26"/>
          <w:szCs w:val="26"/>
        </w:rPr>
        <w:t xml:space="preserve">При среднем размер</w:t>
      </w:r>
      <w:r>
        <w:rPr>
          <w:rFonts w:ascii="Times New Roman" w:hAnsi="Times New Roman" w:eastAsia="Calibri" w:cs="Times New Roman"/>
          <w:sz w:val="26"/>
          <w:szCs w:val="26"/>
        </w:rPr>
        <w:t xml:space="preserve">е субсидии в сумме 14,6 млн. руб. в случае привлечения заемных средств в вышеуказанной сумме (под процентную ставку в размере 5%                            (в сфере АПК)  на 12 месяцев  переплата товаропроизводителя составит 398,43 тыс. руб.</w:t>
      </w:r>
      <w:r>
        <w:rPr>
          <w:rFonts w:ascii="Times New Roman" w:hAnsi="Times New Roman" w:eastAsia="Calibri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Таким образом по</w:t>
      </w:r>
      <w:r>
        <w:rPr>
          <w:rFonts w:ascii="Times New Roman" w:hAnsi="Times New Roman" w:eastAsia="Calibri" w:cs="Times New Roman"/>
          <w:sz w:val="26"/>
          <w:szCs w:val="26"/>
        </w:rPr>
        <w:t xml:space="preserve">лучение субсидии для сельскохозяйственных товаропроизводителей является финансово более выгодным, чем привлечение заемных ресурсов.</w:t>
      </w:r>
      <w:r>
        <w:rPr>
          <w:rFonts w:ascii="Times New Roman" w:hAnsi="Times New Roman" w:eastAsia="Calibri" w:cs="Times New Roman"/>
          <w:sz w:val="26"/>
          <w:szCs w:val="26"/>
        </w:rPr>
      </w:r>
      <w:r/>
    </w:p>
    <w:p>
      <w:pPr>
        <w:ind w:left="0" w:right="0" w:firstLine="709"/>
        <w:jc w:val="both"/>
        <w:spacing w:before="0" w:beforeAutospacing="0" w:after="0" w:afterAutospacing="0" w:line="25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4.4.</w:t>
      </w:r>
      <w:r>
        <w:rPr>
          <w:rFonts w:ascii="Times New Roman" w:hAnsi="Times New Roman" w:eastAsia="Calibri" w:cs="Times New Roman"/>
          <w:sz w:val="26"/>
          <w:szCs w:val="26"/>
          <w:lang w:eastAsia="ru-RU"/>
        </w:rPr>
        <w:t xml:space="preserve"> 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регулированием. Оценка их количественного состава: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ascii="Times New Roman" w:hAnsi="Times New Roman" w:eastAsia="Calibri" w:cs="Times New Roman"/>
          <w:sz w:val="20"/>
          <w:szCs w:val="20"/>
        </w:rPr>
      </w:r>
      <w:r/>
    </w:p>
    <w:tbl>
      <w:tblPr>
        <w:tblpPr w:horzAnchor="margin" w:tblpXSpec="left" w:vertAnchor="text" w:tblpY="50" w:leftFromText="180" w:topFromText="0" w:rightFromText="180" w:bottomFromText="0"/>
        <w:tblW w:w="96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5"/>
        <w:gridCol w:w="4002"/>
      </w:tblGrid>
      <w:tr>
        <w:trPr>
          <w:cantSplit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5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Группа участников отношений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Оценка количества участников отношений</w:t>
            </w:r>
            <w:r/>
          </w:p>
        </w:tc>
      </w:tr>
      <w:tr>
        <w:trPr>
          <w:cantSplit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65" w:type="dxa"/>
            <w:textDirection w:val="lrTb"/>
            <w:noWrap w:val="false"/>
          </w:tcPr>
          <w:p>
            <w:pPr>
              <w:ind w:right="57"/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Сельскохозяйственные товаропроизводители (за исключением граждан, ведущих личное подсобное хозяйство, и сельскохозяйственных кредитных потребительских кооперативов),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002" w:type="dxa"/>
            <w:vAlign w:val="center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  <w:t xml:space="preserve">20 ед.</w:t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4.5. Оценка изменений обязательных требований, обязанностей, ограничений </w:t>
      </w:r>
      <w:r>
        <w:rPr>
          <w:rFonts w:ascii="Times New Roman" w:hAnsi="Times New Roman" w:eastAsia="Calibri" w:cs="Times New Roman"/>
          <w:bCs/>
          <w:sz w:val="26"/>
          <w:szCs w:val="26"/>
        </w:rPr>
        <w:br/>
        <w:t xml:space="preserve">и преимуществ, ответственности за нарушение нормативных правовых актов Белгородской области, расходов и доходов, а также ожидаемых издержек и выгод </w:t>
      </w:r>
      <w:r>
        <w:rPr>
          <w:rFonts w:ascii="Times New Roman" w:hAnsi="Times New Roman" w:eastAsia="Calibri" w:cs="Times New Roman"/>
          <w:bCs/>
          <w:sz w:val="26"/>
          <w:szCs w:val="26"/>
        </w:rPr>
        <w:br/>
        <w:t xml:space="preserve">для субъектов предпринимательской и иной экономической деятельности, интересы которых затрагиваются вводимым правовым регулированием: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</w:r>
      <w:r/>
    </w:p>
    <w:tbl>
      <w:tblPr>
        <w:tblpPr w:horzAnchor="margin" w:tblpXSpec="left" w:vertAnchor="text" w:tblpY="69" w:leftFromText="180" w:topFromText="0" w:rightFromText="180" w:bottomFromText="0"/>
        <w:tblW w:w="96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9"/>
        <w:gridCol w:w="3969"/>
        <w:gridCol w:w="3289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Группа участников отношений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Описание новых или изменения содержания существующих обязательных требований, обязанностей, ограничений, преимуществ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89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Оценка изменения расходов/доходов,</w:t>
            </w:r>
            <w:r/>
          </w:p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издержек/выгод,</w:t>
            </w:r>
            <w:r/>
          </w:p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тыс. руб.</w:t>
            </w:r>
            <w:r/>
          </w:p>
        </w:tc>
      </w:tr>
      <w:tr>
        <w:trPr>
          <w:cantSplit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9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Сельскохозяйственные товаропроизводители (за исключением граждан, ведущих личное подсобное хозяйство, и сельскохозяйственных кредитных потребительских кооперативов)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Style w:val="844"/>
              <w:spacing w:before="0" w:beforeAutospacing="0" w:after="0" w:afterAutospacing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Преимущества:</w:t>
            </w:r>
            <w:r/>
          </w:p>
          <w:p>
            <w:pPr>
              <w:pStyle w:val="844"/>
              <w:spacing w:before="0" w:beforeAutospacing="0" w:after="0" w:afterAutospacing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Возможность получения субсидий на цели и в размере, не предусмотренные действующими программами государственной поддержки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289" w:type="dxa"/>
            <w:vAlign w:val="center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Финансирование в 202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 году будет осуществляться в виде субсидии на общую сумму 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228,2</w:t>
            </w: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</w:rPr>
              <w:t xml:space="preserve">млн руб.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  <w:shd w:val="clear" w:color="auto" w:fill="ffffff"/>
              </w:rPr>
              <w:t xml:space="preserve">Общая стоимость требования</w:t>
            </w:r>
            <w:r/>
          </w:p>
          <w:p>
            <w:pPr>
              <w:ind w:left="0" w:right="0" w:firstLine="0"/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  <w:lang w:eastAsia="ru-RU"/>
              </w:rPr>
              <w:t xml:space="preserve">431,25 тыс. руб.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</w:rPr>
            </w:r>
            <w:r/>
          </w:p>
          <w:p>
            <w:pPr>
              <w:ind w:left="0" w:right="0" w:firstLine="0"/>
              <w:jc w:val="center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(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453,48 руб.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*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47,55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чел./часов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*20 ед)</w:t>
            </w:r>
            <w:r>
              <w:rPr>
                <w:sz w:val="20"/>
                <w:szCs w:val="20"/>
              </w:rPr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b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sz w:val="20"/>
                <w:szCs w:val="20"/>
                <w:lang w:eastAsia="ru-RU"/>
              </w:rPr>
              <w:t xml:space="preserve">Конкретизация пакета документов</w:t>
            </w:r>
            <w:r/>
          </w:p>
        </w:tc>
      </w:tr>
      <w:tr>
        <w:trPr>
          <w:cantSplit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Style w:val="844"/>
              <w:spacing w:before="0" w:beforeAutospacing="0" w:after="0" w:afterAutospacing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Обязанности:</w:t>
            </w:r>
            <w:r/>
          </w:p>
          <w:p>
            <w:pPr>
              <w:pStyle w:val="844"/>
              <w:spacing w:before="0" w:beforeAutospacing="0" w:after="0" w:afterAutospacing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- </w:t>
            </w:r>
            <w:r>
              <w:rPr>
                <w:sz w:val="20"/>
                <w:szCs w:val="20"/>
              </w:rPr>
              <w:t xml:space="preserve"> предоставление пакета документов, необходимых для участия в конкурсном отборе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89" w:type="dxa"/>
            <w:vMerge w:val="continue"/>
            <w:textDirection w:val="lrTb"/>
            <w:noWrap w:val="false"/>
          </w:tcPr>
          <w:p>
            <w:pPr>
              <w:ind w:right="57" w:firstLine="709"/>
              <w:spacing w:after="0" w:line="240" w:lineRule="auto"/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iCs/>
                <w:sz w:val="28"/>
                <w:szCs w:val="28"/>
              </w:rPr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0"/>
          <w:szCs w:val="20"/>
        </w:rPr>
      </w:pPr>
      <w:r>
        <w:rPr>
          <w:rFonts w:ascii="Times New Roman" w:hAnsi="Times New Roman" w:eastAsia="Calibri" w:cs="Times New Roman"/>
          <w:bCs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4.6. Новые функции, полномочия, обязанности и права, а также ожидаемые издержки и выгоды органов государственной власти и органов местного самоуправления области или сведения об их изменении: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ascii="Times New Roman" w:hAnsi="Times New Roman" w:eastAsia="Calibri" w:cs="Times New Roman"/>
          <w:sz w:val="20"/>
          <w:szCs w:val="20"/>
        </w:rPr>
      </w:r>
      <w:r/>
    </w:p>
    <w:tbl>
      <w:tblPr>
        <w:tblpPr w:horzAnchor="margin" w:tblpXSpec="left" w:vertAnchor="text" w:tblpY="75" w:leftFromText="180" w:topFromText="0" w:rightFromText="180" w:bottomFromText="0"/>
        <w:tblW w:w="96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827"/>
        <w:gridCol w:w="2835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Наименование органа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ind w:right="57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Описание новых или изменения существующих функций, полномочий, обязанностей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br/>
              <w:t xml:space="preserve">или прав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Оценка изменения трудозатрат и (или) потребностей в иных ресурсах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Министерство сельского хозяйства и продовольствия Белгородской области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Функции министерства будут осуществляться в рамках ранее установленных полномочий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5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Дополнительные трудозатраты                        не потребуются</w:t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ascii="Times New Roman" w:hAnsi="Times New Roman" w:eastAsia="Calibri" w:cs="Times New Roman"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4.7. Оценка расходов (возможных поступлений) консолидированного бюджета Белгородской </w:t>
      </w:r>
      <w:r>
        <w:rPr>
          <w:rFonts w:ascii="Times New Roman" w:hAnsi="Times New Roman" w:eastAsia="Calibri" w:cs="Times New Roman"/>
          <w:sz w:val="26"/>
          <w:szCs w:val="26"/>
        </w:rPr>
        <w:t xml:space="preserve">области:*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0"/>
          <w:szCs w:val="20"/>
        </w:rPr>
      </w:pPr>
      <w:r>
        <w:rPr>
          <w:rFonts w:ascii="Times New Roman" w:hAnsi="Times New Roman" w:eastAsia="Calibri" w:cs="Times New Roman"/>
          <w:sz w:val="20"/>
          <w:szCs w:val="20"/>
        </w:rPr>
      </w:r>
      <w:r/>
    </w:p>
    <w:tbl>
      <w:tblPr>
        <w:tblpPr w:horzAnchor="margin" w:tblpXSpec="left" w:vertAnchor="text" w:tblpY="58" w:leftFromText="180" w:topFromText="0" w:rightFromText="180" w:bottomFromText="0"/>
        <w:tblW w:w="96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0"/>
        <w:gridCol w:w="3402"/>
        <w:gridCol w:w="3435"/>
      </w:tblGrid>
      <w:tr>
        <w:trPr/>
        <w:tc>
          <w:tcPr>
            <w:tcW w:w="2830" w:type="dxa"/>
            <w:textDirection w:val="lrTb"/>
            <w:noWrap w:val="false"/>
          </w:tcPr>
          <w:p>
            <w:pPr>
              <w:ind w:left="-35" w:right="-25" w:firstLine="35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Описание новых или изменения существующих функций, полномочий, обязанностей или прав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Описание видов расходов (возможных поступлений) консолидированного бюджета Белгородской области </w:t>
            </w:r>
            <w:r/>
          </w:p>
        </w:tc>
        <w:tc>
          <w:tcPr>
            <w:tcW w:w="343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Количественная оценка расходов и возможных поступлений,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тыс. руб.</w:t>
            </w:r>
            <w:r/>
          </w:p>
        </w:tc>
      </w:tr>
      <w:tr>
        <w:trPr/>
        <w:tc>
          <w:tcPr>
            <w:tcW w:w="2830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Министерство сельского хозяйства и продовольствия Белгородской области</w:t>
            </w:r>
            <w:r/>
          </w:p>
        </w:tc>
        <w:tc>
          <w:tcPr>
            <w:tcW w:w="340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Предоставление субсидии сельскохозяйственным товаропроизводителям </w:t>
            </w:r>
            <w:r/>
          </w:p>
        </w:tc>
        <w:tc>
          <w:tcPr>
            <w:tcW w:w="3435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Финансирование в 202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году будет осуществляться в виде субсидии на общую сумму                      </w:t>
            </w:r>
            <w: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228,2 млн руб. </w:t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ascii="Times New Roman" w:hAnsi="Times New Roman" w:eastAsia="Calibri" w:cs="Times New Roman"/>
          <w:b/>
          <w:bCs/>
          <w:sz w:val="20"/>
          <w:szCs w:val="20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4.8. Информация о наличии или отсутствии в проекте нормативного правового акта обязательных требований: нормативно-правовой акт не предусматривает обязательных требований.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5. Риски решения проблемы предложенным способом правового регулирования и риски негативных последствий, в том числе для конкуренции, а также описание методов контроля эффективности избранного способа достижения целей регулирования:</w:t>
      </w:r>
      <w:r/>
    </w:p>
    <w:tbl>
      <w:tblPr>
        <w:tblpPr w:horzAnchor="margin" w:tblpXSpec="left" w:vertAnchor="text" w:tblpY="189" w:leftFromText="180" w:topFromText="0" w:rightFromText="180" w:bottomFromText="0"/>
        <w:tblW w:w="96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56"/>
        <w:gridCol w:w="1951"/>
        <w:gridCol w:w="3860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Риски решения проблемы предложенным способом 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и риски негативных последствий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Оценка вероятности наступления рисков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Методы контроля эффективности избранного способа достижения целей регулирования</w:t>
            </w:r>
            <w:r/>
          </w:p>
        </w:tc>
      </w:tr>
      <w:tr>
        <w:trPr>
          <w:cantSplit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ind w:right="57"/>
              <w:jc w:val="both"/>
              <w:keepNext/>
              <w:spacing w:after="0" w:line="240" w:lineRule="auto"/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  <w: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Отсутствие заявок на участие в конкурсном отборе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низкая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0" w:type="dxa"/>
            <w:vAlign w:val="center"/>
            <w:textDirection w:val="lrTb"/>
            <w:noWrap w:val="false"/>
          </w:tcPr>
          <w:p>
            <w:pPr>
              <w:contextualSpacing/>
              <w:spacing w:after="0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Мониторинг количества поданных заявок</w:t>
            </w:r>
            <w:r/>
          </w:p>
        </w:tc>
      </w:tr>
      <w:tr>
        <w:trPr>
          <w:cantSplit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56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2. Снижение объемов производства плодов и ягод на территории Белгородской области</w:t>
            </w:r>
            <w:r/>
          </w:p>
          <w:p>
            <w:pPr>
              <w:pStyle w:val="845"/>
              <w:ind w:left="142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iCs/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1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after="0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низкая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60" w:type="dxa"/>
            <w:vAlign w:val="center"/>
            <w:textDirection w:val="lrTb"/>
            <w:noWrap w:val="false"/>
          </w:tcPr>
          <w:p>
            <w:pPr>
              <w:contextualSpacing/>
              <w:spacing w:after="0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Проведение обучающих семинаров. Информирование населения о мерах поддержки</w:t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6. Необходимые для достижения заявленных целей регулирования организационно-технические, методологические, информационные и иные 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мероприятия:*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6"/>
          <w:szCs w:val="26"/>
        </w:rPr>
      </w:pPr>
      <w:r>
        <w:rPr>
          <w:rFonts w:ascii="Times New Roman" w:hAnsi="Times New Roman" w:eastAsia="Calibri" w:cs="Times New Roman"/>
          <w:b/>
          <w:bCs/>
          <w:sz w:val="26"/>
          <w:szCs w:val="26"/>
        </w:rPr>
      </w:r>
      <w:r/>
    </w:p>
    <w:tbl>
      <w:tblPr>
        <w:tblW w:w="96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8"/>
        <w:gridCol w:w="1417"/>
        <w:gridCol w:w="1418"/>
        <w:gridCol w:w="1276"/>
        <w:gridCol w:w="1308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Мероприятия, необходимые для достижения целей регулирования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right="-32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Сроки реализации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Описание ожидаемого результата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Объем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финансиро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вания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Источники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финансиро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вания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48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Размещение информации о принятии постановления Правительства Белгородской области на официальном сайте департамента (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belapk.ru )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и на едином портале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right="117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август</w:t>
            </w:r>
            <w:r/>
          </w:p>
          <w:p>
            <w:pPr>
              <w:ind w:right="117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-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8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нет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48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Мониторинг предоставленной субсидии из областного бюджета сельскохозяйственным товаропроизводителям по возмещению части затрат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закладку, и (или) уход, и (или) раскорче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вку многолетних насаждений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ind w:right="117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Декабрь 202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ind w:left="-27"/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Предоставление субсидии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нет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08" w:type="dxa"/>
            <w:vAlign w:val="center"/>
            <w:textDirection w:val="lrTb"/>
            <w:noWrap w:val="false"/>
          </w:tcPr>
          <w:p>
            <w:pPr>
              <w:ind w:left="142"/>
              <w:jc w:val="center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нет</w:t>
            </w:r>
            <w:r/>
          </w:p>
        </w:tc>
      </w:tr>
    </w:tbl>
    <w:p>
      <w:pPr>
        <w:ind w:firstLine="709"/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/>
    </w:p>
    <w:p>
      <w:pPr>
        <w:ind w:firstLine="709"/>
        <w:spacing w:after="0" w:line="240" w:lineRule="auto"/>
        <w:rPr>
          <w:rFonts w:ascii="Times New Roman" w:hAnsi="Times New Roman" w:eastAsia="Calibri" w:cs="Times New Roman"/>
          <w:bCs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7. Ожидаемые измеримые результаты правового </w:t>
      </w:r>
      <w:r>
        <w:rPr>
          <w:rFonts w:ascii="Times New Roman" w:hAnsi="Times New Roman" w:eastAsia="Calibri" w:cs="Times New Roman"/>
          <w:bCs/>
          <w:sz w:val="26"/>
          <w:szCs w:val="26"/>
        </w:rPr>
        <w:t xml:space="preserve">регулирования:*</w:t>
      </w:r>
      <w:r/>
    </w:p>
    <w:p>
      <w:pPr>
        <w:ind w:firstLine="709"/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/>
    </w:p>
    <w:tbl>
      <w:tblPr>
        <w:tblW w:w="97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418"/>
        <w:gridCol w:w="2126"/>
        <w:gridCol w:w="2126"/>
      </w:tblGrid>
      <w:tr>
        <w:trPr>
          <w:trHeight w:val="171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Ключевые показатели достижения целей, заявленных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br/>
              <w:t xml:space="preserve">в предложенном регулировании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ind w:left="-106" w:right="-103" w:firstLine="106"/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Коли-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чествнное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 значение ключевых показателей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Методы контроля эффективности достижения целей правового регулирования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Срок оценки достижения ключевых показателей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br/>
              <w:t xml:space="preserve">(не более 5 лет)</w:t>
            </w:r>
            <w:r/>
          </w:p>
        </w:tc>
      </w:tr>
      <w:tr>
        <w:trPr>
          <w:trHeight w:val="2808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06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1. К декабрю 202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года оказание финансовой по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ддержки не менее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br/>
              <w:t xml:space="preserve">чем двум сельскохозяйственным товаропроизводителям. </w:t>
            </w:r>
            <w:r>
              <w:rPr>
                <w:sz w:val="24"/>
                <w:szCs w:val="24"/>
              </w:rPr>
            </w:r>
            <w:r/>
          </w:p>
          <w:p>
            <w:pPr>
              <w:jc w:val="both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Финансирование на предоставление субсидии из областного бюджета сельскохозяйственным товаропроизводителям по возмещению части затрат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на закладку, и (или) уход, и (или) раскорче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вку многолетних насаждений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228,2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млн руб.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8" w:type="dxa"/>
            <w:textDirection w:val="lrTb"/>
            <w:noWrap w:val="false"/>
          </w:tcPr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2 ед.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ind w:left="36" w:right="37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Оценка поступивших заявок от сельскохозяйственных товаропроизводителей</w:t>
            </w:r>
            <w:r/>
          </w:p>
          <w:p>
            <w:pPr>
              <w:ind w:left="36" w:right="37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/>
          </w:p>
          <w:p>
            <w:pPr>
              <w:ind w:right="37"/>
              <w:spacing w:after="0" w:line="240" w:lineRule="auto"/>
              <w:tabs>
                <w:tab w:val="left" w:pos="426" w:leader="none"/>
              </w:tabs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Декабрь 202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 года</w:t>
            </w:r>
            <w:r/>
          </w:p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  <w:r/>
          </w:p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/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bCs/>
          <w:sz w:val="26"/>
          <w:szCs w:val="26"/>
        </w:rPr>
        <w:t xml:space="preserve">8. Предполагаемая дата вступления в силу проекта нормативного правового акта: </w:t>
      </w:r>
      <w:r>
        <w:rPr>
          <w:rFonts w:ascii="Times New Roman" w:hAnsi="Times New Roman" w:eastAsia="Calibri" w:cs="Times New Roman"/>
          <w:sz w:val="26"/>
          <w:szCs w:val="26"/>
        </w:rPr>
        <w:t xml:space="preserve">3</w:t>
      </w:r>
      <w:r>
        <w:rPr>
          <w:rFonts w:ascii="Times New Roman" w:hAnsi="Times New Roman" w:eastAsia="Calibri" w:cs="Times New Roman"/>
          <w:sz w:val="26"/>
          <w:szCs w:val="26"/>
        </w:rPr>
        <w:t xml:space="preserve"> квартал 202</w:t>
      </w:r>
      <w:r>
        <w:rPr>
          <w:rFonts w:ascii="Times New Roman" w:hAnsi="Times New Roman" w:eastAsia="Calibri" w:cs="Times New Roman"/>
          <w:sz w:val="26"/>
          <w:szCs w:val="26"/>
        </w:rPr>
        <w:t xml:space="preserve">6 </w:t>
      </w:r>
      <w:r>
        <w:rPr>
          <w:rFonts w:ascii="Times New Roman" w:hAnsi="Times New Roman" w:eastAsia="Calibri" w:cs="Times New Roman"/>
          <w:sz w:val="26"/>
          <w:szCs w:val="26"/>
        </w:rPr>
        <w:t xml:space="preserve">года.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>
        <w:rPr>
          <w:rFonts w:ascii="Times New Roman" w:hAnsi="Times New Roman" w:eastAsia="Calibri" w:cs="Times New Roman"/>
          <w:sz w:val="26"/>
          <w:szCs w:val="26"/>
        </w:rPr>
      </w:r>
      <w:r/>
    </w:p>
    <w:tbl>
      <w:tblPr>
        <w:tblW w:w="0" w:type="auto"/>
        <w:tblLook w:val="04A0" w:firstRow="1" w:lastRow="0" w:firstColumn="1" w:lastColumn="0" w:noHBand="0" w:noVBand="1"/>
      </w:tblPr>
      <w:tblGrid>
        <w:gridCol w:w="5151"/>
        <w:gridCol w:w="460"/>
        <w:gridCol w:w="1356"/>
        <w:gridCol w:w="451"/>
        <w:gridCol w:w="451"/>
        <w:gridCol w:w="1770"/>
      </w:tblGrid>
      <w:tr>
        <w:trPr>
          <w:trHeight w:val="419"/>
        </w:trPr>
        <w:tc>
          <w:tcPr>
            <w:shd w:val="clear" w:color="ffffff" w:fill="ffffff"/>
            <w:tcW w:w="527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ffffff" w:fill="ffffff"/>
            <w:tcW w:w="46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ffffff" w:fill="ffffff"/>
            <w:tcW w:w="13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tcW w:w="45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ffffff" w:fill="ffffff"/>
            <w:tcW w:w="45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ffffff" w:fill="ffffff"/>
            <w:tcW w:w="181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/>
          </w:p>
        </w:tc>
      </w:tr>
    </w:tbl>
    <w:p>
      <w:pPr>
        <w:jc w:val="both"/>
        <w:spacing w:after="0" w:line="240" w:lineRule="auto"/>
      </w:pPr>
      <w:r>
        <w:rPr>
          <w:rFonts w:ascii="Times New Roman" w:hAnsi="Times New Roman" w:eastAsia="Calibri" w:cs="Times New Roman"/>
          <w:sz w:val="26"/>
          <w:szCs w:val="26"/>
        </w:rPr>
      </w:r>
      <w:r>
        <w:rPr>
          <w:rFonts w:ascii="Times New Roman" w:hAnsi="Times New Roman" w:eastAsia="Calibri" w:cs="Times New Roman"/>
          <w:sz w:val="26"/>
          <w:szCs w:val="26"/>
        </w:rPr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b/>
          <w:bCs/>
          <w:i/>
          <w:sz w:val="26"/>
          <w:szCs w:val="26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ascii="Times New Roman" w:hAnsi="Times New Roman" w:eastAsia="Calibri" w:cs="Times New Roman"/>
          <w:sz w:val="26"/>
          <w:szCs w:val="26"/>
        </w:rPr>
      </w:r>
      <w:r/>
    </w:p>
    <w:sectPr>
      <w:footnotePr/>
      <w:endnotePr/>
      <w:type w:val="nextPage"/>
      <w:pgSz w:w="11906" w:h="16838" w:orient="portrait"/>
      <w:pgMar w:top="567" w:right="566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Verdana">
    <w:panose1 w:val="020B0604030504040204"/>
  </w:font>
  <w:font w:name="Tahoma">
    <w:panose1 w:val="020B0604030504040204"/>
  </w:font>
  <w:font w:name="PT Serif">
    <w:panose1 w:val="020A0603040505020204"/>
  </w:font>
  <w:font w:name="Courier New">
    <w:panose1 w:val="02070309020205020404"/>
  </w:font>
  <w:font w:name="Times New Roman">
    <w:panose1 w:val="02020603050405020304"/>
  </w:font>
  <w:font w:name="Cousine">
    <w:panose1 w:val="020704090202050204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17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7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0" w:default="1">
    <w:name w:val="Normal"/>
    <w:qFormat/>
  </w:style>
  <w:style w:type="paragraph" w:styleId="641">
    <w:name w:val="Heading 1"/>
    <w:basedOn w:val="640"/>
    <w:next w:val="640"/>
    <w:link w:val="668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42">
    <w:name w:val="Heading 2"/>
    <w:basedOn w:val="640"/>
    <w:next w:val="640"/>
    <w:link w:val="66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43">
    <w:name w:val="Heading 3"/>
    <w:basedOn w:val="640"/>
    <w:next w:val="640"/>
    <w:link w:val="67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44">
    <w:name w:val="Heading 4"/>
    <w:basedOn w:val="640"/>
    <w:next w:val="640"/>
    <w:link w:val="67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45">
    <w:name w:val="Heading 5"/>
    <w:basedOn w:val="640"/>
    <w:next w:val="640"/>
    <w:link w:val="67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640"/>
    <w:next w:val="640"/>
    <w:link w:val="67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7">
    <w:name w:val="Heading 7"/>
    <w:basedOn w:val="640"/>
    <w:next w:val="640"/>
    <w:link w:val="67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8">
    <w:name w:val="Heading 8"/>
    <w:basedOn w:val="640"/>
    <w:next w:val="640"/>
    <w:link w:val="67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9">
    <w:name w:val="Heading 9"/>
    <w:basedOn w:val="640"/>
    <w:next w:val="640"/>
    <w:link w:val="67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0" w:default="1">
    <w:name w:val="Default Paragraph Font"/>
    <w:uiPriority w:val="1"/>
    <w:semiHidden/>
    <w:unhideWhenUsed/>
  </w:style>
  <w:style w:type="table" w:styleId="65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2" w:default="1">
    <w:name w:val="No List"/>
    <w:uiPriority w:val="99"/>
    <w:semiHidden/>
    <w:unhideWhenUsed/>
  </w:style>
  <w:style w:type="character" w:styleId="653" w:customStyle="1">
    <w:name w:val="Heading 1 Char"/>
    <w:basedOn w:val="650"/>
    <w:uiPriority w:val="9"/>
    <w:rPr>
      <w:rFonts w:ascii="Arial" w:hAnsi="Arial" w:eastAsia="Arial" w:cs="Arial"/>
      <w:sz w:val="40"/>
      <w:szCs w:val="40"/>
    </w:rPr>
  </w:style>
  <w:style w:type="character" w:styleId="654" w:customStyle="1">
    <w:name w:val="Heading 2 Char"/>
    <w:basedOn w:val="650"/>
    <w:uiPriority w:val="9"/>
    <w:rPr>
      <w:rFonts w:ascii="Arial" w:hAnsi="Arial" w:eastAsia="Arial" w:cs="Arial"/>
      <w:sz w:val="34"/>
    </w:rPr>
  </w:style>
  <w:style w:type="character" w:styleId="655" w:customStyle="1">
    <w:name w:val="Heading 3 Char"/>
    <w:basedOn w:val="650"/>
    <w:uiPriority w:val="9"/>
    <w:rPr>
      <w:rFonts w:ascii="Arial" w:hAnsi="Arial" w:eastAsia="Arial" w:cs="Arial"/>
      <w:sz w:val="30"/>
      <w:szCs w:val="30"/>
    </w:rPr>
  </w:style>
  <w:style w:type="character" w:styleId="656" w:customStyle="1">
    <w:name w:val="Heading 4 Char"/>
    <w:basedOn w:val="650"/>
    <w:uiPriority w:val="9"/>
    <w:rPr>
      <w:rFonts w:ascii="Arial" w:hAnsi="Arial" w:eastAsia="Arial" w:cs="Arial"/>
      <w:b/>
      <w:bCs/>
      <w:sz w:val="26"/>
      <w:szCs w:val="26"/>
    </w:rPr>
  </w:style>
  <w:style w:type="character" w:styleId="657" w:customStyle="1">
    <w:name w:val="Heading 5 Char"/>
    <w:basedOn w:val="650"/>
    <w:uiPriority w:val="9"/>
    <w:rPr>
      <w:rFonts w:ascii="Arial" w:hAnsi="Arial" w:eastAsia="Arial" w:cs="Arial"/>
      <w:b/>
      <w:bCs/>
      <w:sz w:val="24"/>
      <w:szCs w:val="24"/>
    </w:rPr>
  </w:style>
  <w:style w:type="character" w:styleId="658" w:customStyle="1">
    <w:name w:val="Heading 6 Char"/>
    <w:basedOn w:val="650"/>
    <w:uiPriority w:val="9"/>
    <w:rPr>
      <w:rFonts w:ascii="Arial" w:hAnsi="Arial" w:eastAsia="Arial" w:cs="Arial"/>
      <w:b/>
      <w:bCs/>
      <w:sz w:val="22"/>
      <w:szCs w:val="22"/>
    </w:rPr>
  </w:style>
  <w:style w:type="character" w:styleId="659" w:customStyle="1">
    <w:name w:val="Heading 7 Char"/>
    <w:basedOn w:val="65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60" w:customStyle="1">
    <w:name w:val="Heading 8 Char"/>
    <w:basedOn w:val="650"/>
    <w:uiPriority w:val="9"/>
    <w:rPr>
      <w:rFonts w:ascii="Arial" w:hAnsi="Arial" w:eastAsia="Arial" w:cs="Arial"/>
      <w:i/>
      <w:iCs/>
      <w:sz w:val="22"/>
      <w:szCs w:val="22"/>
    </w:rPr>
  </w:style>
  <w:style w:type="character" w:styleId="661" w:customStyle="1">
    <w:name w:val="Heading 9 Char"/>
    <w:basedOn w:val="650"/>
    <w:uiPriority w:val="9"/>
    <w:rPr>
      <w:rFonts w:ascii="Arial" w:hAnsi="Arial" w:eastAsia="Arial" w:cs="Arial"/>
      <w:i/>
      <w:iCs/>
      <w:sz w:val="21"/>
      <w:szCs w:val="21"/>
    </w:rPr>
  </w:style>
  <w:style w:type="character" w:styleId="662" w:customStyle="1">
    <w:name w:val="Title Char"/>
    <w:basedOn w:val="650"/>
    <w:uiPriority w:val="10"/>
    <w:rPr>
      <w:sz w:val="48"/>
      <w:szCs w:val="48"/>
    </w:rPr>
  </w:style>
  <w:style w:type="character" w:styleId="663" w:customStyle="1">
    <w:name w:val="Subtitle Char"/>
    <w:basedOn w:val="650"/>
    <w:uiPriority w:val="11"/>
    <w:rPr>
      <w:sz w:val="24"/>
      <w:szCs w:val="24"/>
    </w:rPr>
  </w:style>
  <w:style w:type="character" w:styleId="664" w:customStyle="1">
    <w:name w:val="Quote Char"/>
    <w:uiPriority w:val="29"/>
    <w:rPr>
      <w:i/>
    </w:rPr>
  </w:style>
  <w:style w:type="character" w:styleId="665" w:customStyle="1">
    <w:name w:val="Intense Quote Char"/>
    <w:uiPriority w:val="30"/>
    <w:rPr>
      <w:i/>
    </w:rPr>
  </w:style>
  <w:style w:type="character" w:styleId="666" w:customStyle="1">
    <w:name w:val="Footnote Text Char"/>
    <w:uiPriority w:val="99"/>
    <w:rPr>
      <w:sz w:val="18"/>
    </w:rPr>
  </w:style>
  <w:style w:type="character" w:styleId="667" w:customStyle="1">
    <w:name w:val="Endnote Text Char"/>
    <w:uiPriority w:val="99"/>
    <w:rPr>
      <w:sz w:val="20"/>
    </w:rPr>
  </w:style>
  <w:style w:type="character" w:styleId="668" w:customStyle="1">
    <w:name w:val="Заголовок 1 Знак"/>
    <w:basedOn w:val="650"/>
    <w:link w:val="641"/>
    <w:uiPriority w:val="9"/>
    <w:rPr>
      <w:rFonts w:ascii="Arial" w:hAnsi="Arial" w:eastAsia="Arial" w:cs="Arial"/>
      <w:sz w:val="40"/>
      <w:szCs w:val="40"/>
    </w:rPr>
  </w:style>
  <w:style w:type="character" w:styleId="669" w:customStyle="1">
    <w:name w:val="Заголовок 2 Знак"/>
    <w:basedOn w:val="650"/>
    <w:link w:val="642"/>
    <w:uiPriority w:val="9"/>
    <w:rPr>
      <w:rFonts w:ascii="Arial" w:hAnsi="Arial" w:eastAsia="Arial" w:cs="Arial"/>
      <w:sz w:val="34"/>
    </w:rPr>
  </w:style>
  <w:style w:type="character" w:styleId="670" w:customStyle="1">
    <w:name w:val="Заголовок 3 Знак"/>
    <w:basedOn w:val="650"/>
    <w:link w:val="643"/>
    <w:uiPriority w:val="9"/>
    <w:rPr>
      <w:rFonts w:ascii="Arial" w:hAnsi="Arial" w:eastAsia="Arial" w:cs="Arial"/>
      <w:sz w:val="30"/>
      <w:szCs w:val="30"/>
    </w:rPr>
  </w:style>
  <w:style w:type="character" w:styleId="671" w:customStyle="1">
    <w:name w:val="Заголовок 4 Знак"/>
    <w:basedOn w:val="650"/>
    <w:link w:val="644"/>
    <w:uiPriority w:val="9"/>
    <w:rPr>
      <w:rFonts w:ascii="Arial" w:hAnsi="Arial" w:eastAsia="Arial" w:cs="Arial"/>
      <w:b/>
      <w:bCs/>
      <w:sz w:val="26"/>
      <w:szCs w:val="26"/>
    </w:rPr>
  </w:style>
  <w:style w:type="character" w:styleId="672" w:customStyle="1">
    <w:name w:val="Заголовок 5 Знак"/>
    <w:basedOn w:val="650"/>
    <w:link w:val="645"/>
    <w:uiPriority w:val="9"/>
    <w:rPr>
      <w:rFonts w:ascii="Arial" w:hAnsi="Arial" w:eastAsia="Arial" w:cs="Arial"/>
      <w:b/>
      <w:bCs/>
      <w:sz w:val="24"/>
      <w:szCs w:val="24"/>
    </w:rPr>
  </w:style>
  <w:style w:type="character" w:styleId="673" w:customStyle="1">
    <w:name w:val="Заголовок 6 Знак"/>
    <w:basedOn w:val="650"/>
    <w:link w:val="646"/>
    <w:uiPriority w:val="9"/>
    <w:rPr>
      <w:rFonts w:ascii="Arial" w:hAnsi="Arial" w:eastAsia="Arial" w:cs="Arial"/>
      <w:b/>
      <w:bCs/>
      <w:sz w:val="22"/>
      <w:szCs w:val="22"/>
    </w:rPr>
  </w:style>
  <w:style w:type="character" w:styleId="674" w:customStyle="1">
    <w:name w:val="Заголовок 7 Знак"/>
    <w:basedOn w:val="650"/>
    <w:link w:val="6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5" w:customStyle="1">
    <w:name w:val="Заголовок 8 Знак"/>
    <w:basedOn w:val="650"/>
    <w:link w:val="648"/>
    <w:uiPriority w:val="9"/>
    <w:rPr>
      <w:rFonts w:ascii="Arial" w:hAnsi="Arial" w:eastAsia="Arial" w:cs="Arial"/>
      <w:i/>
      <w:iCs/>
      <w:sz w:val="22"/>
      <w:szCs w:val="22"/>
    </w:rPr>
  </w:style>
  <w:style w:type="character" w:styleId="676" w:customStyle="1">
    <w:name w:val="Заголовок 9 Знак"/>
    <w:basedOn w:val="650"/>
    <w:link w:val="649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No Spacing"/>
    <w:uiPriority w:val="1"/>
    <w:qFormat/>
    <w:pPr>
      <w:spacing w:after="0" w:line="240" w:lineRule="auto"/>
    </w:pPr>
  </w:style>
  <w:style w:type="paragraph" w:styleId="678">
    <w:name w:val="Title"/>
    <w:basedOn w:val="640"/>
    <w:next w:val="640"/>
    <w:link w:val="679"/>
    <w:uiPriority w:val="10"/>
    <w:qFormat/>
    <w:pPr>
      <w:contextualSpacing/>
      <w:spacing w:before="300"/>
    </w:pPr>
    <w:rPr>
      <w:sz w:val="48"/>
      <w:szCs w:val="48"/>
    </w:rPr>
  </w:style>
  <w:style w:type="character" w:styleId="679" w:customStyle="1">
    <w:name w:val="Заголовок Знак"/>
    <w:basedOn w:val="650"/>
    <w:link w:val="678"/>
    <w:uiPriority w:val="10"/>
    <w:rPr>
      <w:sz w:val="48"/>
      <w:szCs w:val="48"/>
    </w:rPr>
  </w:style>
  <w:style w:type="paragraph" w:styleId="680">
    <w:name w:val="Subtitle"/>
    <w:basedOn w:val="640"/>
    <w:next w:val="640"/>
    <w:link w:val="681"/>
    <w:uiPriority w:val="11"/>
    <w:qFormat/>
    <w:pPr>
      <w:spacing w:before="200"/>
    </w:pPr>
    <w:rPr>
      <w:sz w:val="24"/>
      <w:szCs w:val="24"/>
    </w:rPr>
  </w:style>
  <w:style w:type="character" w:styleId="681" w:customStyle="1">
    <w:name w:val="Подзаголовок Знак"/>
    <w:basedOn w:val="650"/>
    <w:link w:val="680"/>
    <w:uiPriority w:val="11"/>
    <w:rPr>
      <w:sz w:val="24"/>
      <w:szCs w:val="24"/>
    </w:rPr>
  </w:style>
  <w:style w:type="paragraph" w:styleId="682">
    <w:name w:val="Quote"/>
    <w:basedOn w:val="640"/>
    <w:next w:val="640"/>
    <w:link w:val="683"/>
    <w:uiPriority w:val="29"/>
    <w:qFormat/>
    <w:pPr>
      <w:ind w:left="720" w:right="720"/>
    </w:pPr>
    <w:rPr>
      <w:i/>
    </w:rPr>
  </w:style>
  <w:style w:type="character" w:styleId="683" w:customStyle="1">
    <w:name w:val="Цитата 2 Знак"/>
    <w:link w:val="682"/>
    <w:uiPriority w:val="29"/>
    <w:rPr>
      <w:i/>
    </w:rPr>
  </w:style>
  <w:style w:type="paragraph" w:styleId="684">
    <w:name w:val="Intense Quote"/>
    <w:basedOn w:val="640"/>
    <w:next w:val="640"/>
    <w:link w:val="68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 w:customStyle="1">
    <w:name w:val="Выделенная цитата Знак"/>
    <w:link w:val="684"/>
    <w:uiPriority w:val="30"/>
    <w:rPr>
      <w:i/>
    </w:rPr>
  </w:style>
  <w:style w:type="character" w:styleId="686" w:customStyle="1">
    <w:name w:val="Header Char"/>
    <w:basedOn w:val="650"/>
    <w:uiPriority w:val="99"/>
  </w:style>
  <w:style w:type="character" w:styleId="687" w:customStyle="1">
    <w:name w:val="Footer Char"/>
    <w:basedOn w:val="650"/>
    <w:uiPriority w:val="99"/>
  </w:style>
  <w:style w:type="paragraph" w:styleId="688">
    <w:name w:val="Caption"/>
    <w:basedOn w:val="640"/>
    <w:next w:val="64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89" w:customStyle="1">
    <w:name w:val="Caption Char"/>
    <w:uiPriority w:val="99"/>
  </w:style>
  <w:style w:type="table" w:styleId="690">
    <w:name w:val="Table Grid"/>
    <w:basedOn w:val="65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1" w:customStyle="1">
    <w:name w:val="Table Grid Light"/>
    <w:basedOn w:val="65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2">
    <w:name w:val="Plain Table 1"/>
    <w:basedOn w:val="65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65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 w:customStyle="1">
    <w:name w:val="Grid Table 4 - Accent 1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20" w:customStyle="1">
    <w:name w:val="Grid Table 4 - Accent 2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21" w:customStyle="1">
    <w:name w:val="Grid Table 4 - Accent 3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22" w:customStyle="1">
    <w:name w:val="Grid Table 4 - Accent 4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23" w:customStyle="1">
    <w:name w:val="Grid Table 4 - Accent 5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4" w:customStyle="1">
    <w:name w:val="Grid Table 4 - Accent 6"/>
    <w:basedOn w:val="65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5">
    <w:name w:val="Grid Table 5 Dark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32">
    <w:name w:val="Grid Table 6 Colorful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3" w:customStyle="1">
    <w:name w:val="Grid Table 6 Colorful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4" w:customStyle="1">
    <w:name w:val="Grid Table 6 Colorful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5" w:customStyle="1">
    <w:name w:val="Grid Table 6 Colorful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6" w:customStyle="1">
    <w:name w:val="Grid Table 6 Colorful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7" w:customStyle="1">
    <w:name w:val="Grid Table 6 Colorful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8" w:customStyle="1">
    <w:name w:val="Grid Table 6 Colorful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9">
    <w:name w:val="Grid Table 7 Colorful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0" w:customStyle="1">
    <w:name w:val="Grid Table 7 Colorful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6BFDD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6BFDD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1" w:customStyle="1">
    <w:name w:val="Grid Table 7 Colorful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2" w:customStyle="1">
    <w:name w:val="Grid Table 7 Colorful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ABB59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9ABB59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3" w:customStyle="1">
    <w:name w:val="Grid Table 7 Colorful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4" w:customStyle="1">
    <w:name w:val="Grid Table 7 Colorful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9D0DE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9D0DE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5" w:customStyle="1">
    <w:name w:val="Grid Table 7 Colorful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396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FAC396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46">
    <w:name w:val="List Table 1 Light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1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2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3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4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5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6"/>
    <w:basedOn w:val="65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>
    <w:name w:val="List Table 6 Colorful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2" w:customStyle="1">
    <w:name w:val="List Table 6 Colorful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83" w:customStyle="1">
    <w:name w:val="List Table 6 Colorful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4" w:customStyle="1">
    <w:name w:val="List Table 6 Colorful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5" w:customStyle="1">
    <w:name w:val="List Table 6 Colorful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6" w:customStyle="1">
    <w:name w:val="List Table 6 Colorful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7" w:customStyle="1">
    <w:name w:val="List Table 6 Colorful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8">
    <w:name w:val="List Table 7 Colorful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89" w:customStyle="1">
    <w:name w:val="List Table 7 Colorful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0" w:customStyle="1">
    <w:name w:val="List Table 7 Colorful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D99695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D99695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1" w:customStyle="1">
    <w:name w:val="List Table 7 Colorful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3D69B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3D69B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2" w:customStyle="1">
    <w:name w:val="List Table 7 Colorful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B2A1C6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B2A1C6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3" w:customStyle="1">
    <w:name w:val="List Table 7 Colorful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2CCDC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92CCDC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4" w:customStyle="1">
    <w:name w:val="List Table 7 Colorful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AC090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FAC090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95" w:customStyle="1">
    <w:name w:val="Lined - Accent"/>
    <w:basedOn w:val="6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6" w:customStyle="1">
    <w:name w:val="Lined - Accent 1"/>
    <w:basedOn w:val="6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7" w:customStyle="1">
    <w:name w:val="Lined - Accent 2"/>
    <w:basedOn w:val="6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8" w:customStyle="1">
    <w:name w:val="Lined - Accent 3"/>
    <w:basedOn w:val="6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9" w:customStyle="1">
    <w:name w:val="Lined - Accent 4"/>
    <w:basedOn w:val="6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0" w:customStyle="1">
    <w:name w:val="Lined - Accent 5"/>
    <w:basedOn w:val="6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1" w:customStyle="1">
    <w:name w:val="Lined - Accent 6"/>
    <w:basedOn w:val="6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2" w:customStyle="1">
    <w:name w:val="Bordered &amp; Lined - Accent"/>
    <w:basedOn w:val="6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3" w:customStyle="1">
    <w:name w:val="Bordered &amp; Lined - Accent 1"/>
    <w:basedOn w:val="6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4" w:customStyle="1">
    <w:name w:val="Bordered &amp; Lined - Accent 2"/>
    <w:basedOn w:val="6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5" w:customStyle="1">
    <w:name w:val="Bordered &amp; Lined - Accent 3"/>
    <w:basedOn w:val="6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6" w:customStyle="1">
    <w:name w:val="Bordered &amp; Lined - Accent 4"/>
    <w:basedOn w:val="6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7" w:customStyle="1">
    <w:name w:val="Bordered &amp; Lined - Accent 5"/>
    <w:basedOn w:val="6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8" w:customStyle="1">
    <w:name w:val="Bordered &amp; Lined - Accent 6"/>
    <w:basedOn w:val="65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9" w:customStyle="1">
    <w:name w:val="Bordered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0" w:customStyle="1">
    <w:name w:val="Bordered - Accent 1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11" w:customStyle="1">
    <w:name w:val="Bordered - Accent 2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12" w:customStyle="1">
    <w:name w:val="Bordered - Accent 3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13" w:customStyle="1">
    <w:name w:val="Bordered - Accent 4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4" w:customStyle="1">
    <w:name w:val="Bordered - Accent 5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5" w:customStyle="1">
    <w:name w:val="Bordered - Accent 6"/>
    <w:basedOn w:val="65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16">
    <w:name w:val="footnote text"/>
    <w:basedOn w:val="640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 w:customStyle="1">
    <w:name w:val="Текст сноски Знак"/>
    <w:link w:val="816"/>
    <w:uiPriority w:val="99"/>
    <w:rPr>
      <w:sz w:val="18"/>
    </w:rPr>
  </w:style>
  <w:style w:type="character" w:styleId="818">
    <w:name w:val="footnote reference"/>
    <w:basedOn w:val="650"/>
    <w:uiPriority w:val="99"/>
    <w:unhideWhenUsed/>
    <w:rPr>
      <w:vertAlign w:val="superscript"/>
    </w:rPr>
  </w:style>
  <w:style w:type="paragraph" w:styleId="819">
    <w:name w:val="endnote text"/>
    <w:basedOn w:val="640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 w:customStyle="1">
    <w:name w:val="Текст концевой сноски Знак"/>
    <w:link w:val="819"/>
    <w:uiPriority w:val="99"/>
    <w:rPr>
      <w:sz w:val="20"/>
    </w:rPr>
  </w:style>
  <w:style w:type="character" w:styleId="821">
    <w:name w:val="endnote reference"/>
    <w:basedOn w:val="650"/>
    <w:uiPriority w:val="99"/>
    <w:semiHidden/>
    <w:unhideWhenUsed/>
    <w:rPr>
      <w:vertAlign w:val="superscript"/>
    </w:rPr>
  </w:style>
  <w:style w:type="paragraph" w:styleId="822">
    <w:name w:val="toc 1"/>
    <w:basedOn w:val="640"/>
    <w:next w:val="640"/>
    <w:uiPriority w:val="39"/>
    <w:unhideWhenUsed/>
    <w:pPr>
      <w:spacing w:after="57"/>
    </w:pPr>
  </w:style>
  <w:style w:type="paragraph" w:styleId="823">
    <w:name w:val="toc 2"/>
    <w:basedOn w:val="640"/>
    <w:next w:val="640"/>
    <w:uiPriority w:val="39"/>
    <w:unhideWhenUsed/>
    <w:pPr>
      <w:ind w:left="283"/>
      <w:spacing w:after="57"/>
    </w:pPr>
  </w:style>
  <w:style w:type="paragraph" w:styleId="824">
    <w:name w:val="toc 3"/>
    <w:basedOn w:val="640"/>
    <w:next w:val="640"/>
    <w:uiPriority w:val="39"/>
    <w:unhideWhenUsed/>
    <w:pPr>
      <w:ind w:left="567"/>
      <w:spacing w:after="57"/>
    </w:pPr>
  </w:style>
  <w:style w:type="paragraph" w:styleId="825">
    <w:name w:val="toc 4"/>
    <w:basedOn w:val="640"/>
    <w:next w:val="640"/>
    <w:uiPriority w:val="39"/>
    <w:unhideWhenUsed/>
    <w:pPr>
      <w:ind w:left="850"/>
      <w:spacing w:after="57"/>
    </w:pPr>
  </w:style>
  <w:style w:type="paragraph" w:styleId="826">
    <w:name w:val="toc 5"/>
    <w:basedOn w:val="640"/>
    <w:next w:val="640"/>
    <w:uiPriority w:val="39"/>
    <w:unhideWhenUsed/>
    <w:pPr>
      <w:ind w:left="1134"/>
      <w:spacing w:after="57"/>
    </w:pPr>
  </w:style>
  <w:style w:type="paragraph" w:styleId="827">
    <w:name w:val="toc 6"/>
    <w:basedOn w:val="640"/>
    <w:next w:val="640"/>
    <w:uiPriority w:val="39"/>
    <w:unhideWhenUsed/>
    <w:pPr>
      <w:ind w:left="1417"/>
      <w:spacing w:after="57"/>
    </w:pPr>
  </w:style>
  <w:style w:type="paragraph" w:styleId="828">
    <w:name w:val="toc 7"/>
    <w:basedOn w:val="640"/>
    <w:next w:val="640"/>
    <w:uiPriority w:val="39"/>
    <w:unhideWhenUsed/>
    <w:pPr>
      <w:ind w:left="1701"/>
      <w:spacing w:after="57"/>
    </w:pPr>
  </w:style>
  <w:style w:type="paragraph" w:styleId="829">
    <w:name w:val="toc 8"/>
    <w:basedOn w:val="640"/>
    <w:next w:val="640"/>
    <w:uiPriority w:val="39"/>
    <w:unhideWhenUsed/>
    <w:pPr>
      <w:ind w:left="1984"/>
      <w:spacing w:after="57"/>
    </w:pPr>
  </w:style>
  <w:style w:type="paragraph" w:styleId="830">
    <w:name w:val="toc 9"/>
    <w:basedOn w:val="640"/>
    <w:next w:val="640"/>
    <w:uiPriority w:val="39"/>
    <w:unhideWhenUsed/>
    <w:pPr>
      <w:ind w:left="2268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640"/>
    <w:next w:val="640"/>
    <w:uiPriority w:val="99"/>
    <w:unhideWhenUsed/>
    <w:pPr>
      <w:spacing w:after="0"/>
    </w:pPr>
  </w:style>
  <w:style w:type="paragraph" w:styleId="833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34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35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836" w:customStyle="1">
    <w:name w:val="ConsPlusCell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37" w:customStyle="1">
    <w:name w:val="ConsPlusDocList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838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paragraph" w:styleId="839" w:customStyle="1">
    <w:name w:val="ConsPlusJurTerm"/>
    <w:pPr>
      <w:spacing w:after="0" w:line="240" w:lineRule="auto"/>
      <w:widowControl w:val="off"/>
    </w:pPr>
    <w:rPr>
      <w:rFonts w:ascii="Tahoma" w:hAnsi="Tahoma" w:eastAsia="Times New Roman" w:cs="Tahoma"/>
      <w:sz w:val="26"/>
      <w:szCs w:val="20"/>
      <w:lang w:eastAsia="ru-RU"/>
    </w:rPr>
  </w:style>
  <w:style w:type="paragraph" w:styleId="840" w:customStyle="1">
    <w:name w:val="ConsPlusTextList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841" w:customStyle="1">
    <w:name w:val="Знак"/>
    <w:basedOn w:val="64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styleId="842">
    <w:name w:val="Hyperlink"/>
    <w:basedOn w:val="650"/>
    <w:uiPriority w:val="99"/>
    <w:unhideWhenUsed/>
    <w:rPr>
      <w:color w:val="0000ff" w:themeColor="hyperlink"/>
      <w:u w:val="single"/>
    </w:rPr>
  </w:style>
  <w:style w:type="paragraph" w:styleId="843" w:customStyle="1">
    <w:name w:val="Знак"/>
    <w:basedOn w:val="64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844">
    <w:name w:val="Normal (Web)"/>
    <w:basedOn w:val="640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5">
    <w:name w:val="List Paragraph"/>
    <w:basedOn w:val="640"/>
    <w:qFormat/>
    <w:pPr>
      <w:contextualSpacing/>
      <w:ind w:left="720"/>
    </w:pPr>
  </w:style>
  <w:style w:type="paragraph" w:styleId="846">
    <w:name w:val="Header"/>
    <w:basedOn w:val="640"/>
    <w:link w:val="84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7" w:customStyle="1">
    <w:name w:val="Верхний колонтитул Знак"/>
    <w:basedOn w:val="650"/>
    <w:link w:val="846"/>
    <w:uiPriority w:val="99"/>
  </w:style>
  <w:style w:type="paragraph" w:styleId="848">
    <w:name w:val="Footer"/>
    <w:basedOn w:val="640"/>
    <w:link w:val="84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9" w:customStyle="1">
    <w:name w:val="Нижний колонтитул Знак"/>
    <w:basedOn w:val="650"/>
    <w:link w:val="848"/>
    <w:uiPriority w:val="99"/>
  </w:style>
  <w:style w:type="paragraph" w:styleId="850" w:customStyle="1">
    <w:name w:val="Знак"/>
    <w:basedOn w:val="64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styleId="851">
    <w:name w:val="Unresolved Mention"/>
    <w:basedOn w:val="650"/>
    <w:uiPriority w:val="99"/>
    <w:semiHidden/>
    <w:unhideWhenUsed/>
    <w:rPr>
      <w:color w:val="605e5c"/>
      <w:shd w:val="clear" w:color="auto" w:fill="e1dfdd"/>
    </w:rPr>
  </w:style>
  <w:style w:type="paragraph" w:styleId="852" w:customStyle="1">
    <w:name w:val="Основной текст 31"/>
    <w:basedOn w:val="698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1A3CF-C539-4313-9971-34B0942B4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Сорочинская И. Л.</dc:creator>
  <cp:revision>21</cp:revision>
  <dcterms:created xsi:type="dcterms:W3CDTF">2026-03-30T07:02:00Z</dcterms:created>
  <dcterms:modified xsi:type="dcterms:W3CDTF">2026-07-29T12:38:02Z</dcterms:modified>
</cp:coreProperties>
</file>