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Расчет издержек/доходов </w:t>
      </w:r>
      <w:r>
        <w:rPr>
          <w:sz w:val="24"/>
          <w:szCs w:val="24"/>
        </w:rPr>
      </w:r>
      <w:r/>
    </w:p>
    <w:p>
      <w:pPr>
        <w:jc w:val="center"/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хозяйствующих субъектов в связи с действием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п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остановлени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я 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Правительства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Белгородской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области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от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0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4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.04.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2022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г.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185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-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пп</w:t>
      </w:r>
      <w:r>
        <w:rPr>
          <w:rStyle w:val="668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«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Об установлении границ территорий, прилегающих к местам массового скопления граждан в период проведения публичных мероприятий, организуемых в соответствии с Федеральным законом от 19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.06.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2004 г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.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54-ФЗ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«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 собраниях, митингах, демонстрациях, шествиях и пикетированиях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»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»</w:t>
      </w:r>
      <w:r>
        <w:rPr>
          <w:sz w:val="24"/>
          <w:szCs w:val="24"/>
        </w:rPr>
      </w:r>
      <w:r/>
    </w:p>
    <w:p>
      <w:pPr>
        <w:keepLines w:val="0"/>
        <w:keepNext w:val="0"/>
        <w:pageBreakBefore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sz w:val="24"/>
          <w:szCs w:val="24"/>
        </w:rPr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u w:val="none"/>
        </w:rPr>
      </w:pP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П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остановлени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ем 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Правительства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Белгородской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области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от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0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4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.04.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2022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г. 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185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-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пп,</w:t>
      </w:r>
      <w:r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установлены границы прилегающих террит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орий к местам массового скопления граждан в период проведения публичных мероприятий,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 в соответствии с подпу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нктом 8 пункта 2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статьи 16 Федерального закона от 22 ноября 1995 года                  № 171-ФЗ 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4"/>
          <w:szCs w:val="24"/>
        </w:rPr>
      </w:r>
      <w:r/>
    </w:p>
    <w:p>
      <w:pPr>
        <w:ind w:firstLine="708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lang w:eastAsia="ru-RU"/>
        </w:rPr>
      </w:r>
      <w:r>
        <w:rPr>
          <w:sz w:val="24"/>
          <w:szCs w:val="24"/>
        </w:rPr>
      </w:r>
      <w:r/>
    </w:p>
    <w:p>
      <w:pPr>
        <w:ind w:firstLine="708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lang w:eastAsia="ru-RU"/>
        </w:rPr>
        <w:t xml:space="preserve">Тип требования: </w:t>
      </w:r>
      <w:r>
        <w:rPr>
          <w:sz w:val="24"/>
          <w:szCs w:val="24"/>
        </w:rPr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Style w:val="668"/>
          <w:rFonts w:hint="default" w:ascii="Times New Roman" w:hAnsi="Times New Roman" w:eastAsia="PT Serif" w:cs="Times New Roman"/>
          <w:b w:val="0"/>
          <w:bCs w:val="0"/>
          <w:i w:val="0"/>
          <w:iCs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Приостановление розничной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продажи алкогольной продукции и розничной продажи алкогольной продукции при оказании услуг общественного питания предприятиями, находящимися на расстоянии менее 70 метров от границ мест массового скопления граждан в период проведения публичных мероприятий.</w:t>
      </w:r>
      <w:r>
        <w:rPr>
          <w:sz w:val="24"/>
          <w:szCs w:val="24"/>
        </w:rPr>
      </w:r>
      <w:r/>
    </w:p>
    <w:p>
      <w:pPr>
        <w:ind w:firstLine="708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lang w:eastAsia="ru-RU"/>
        </w:rPr>
      </w:r>
      <w:r>
        <w:rPr>
          <w:sz w:val="24"/>
          <w:szCs w:val="24"/>
        </w:rPr>
      </w:r>
      <w:r/>
    </w:p>
    <w:p>
      <w:pPr>
        <w:ind w:firstLine="708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Масштаб: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</w:rPr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Согласно Федеральному закону № 54-ФЗ, с</w:t>
      </w:r>
      <w:r>
        <w:rPr>
          <w:rFonts w:ascii="Times New Roman" w:hAnsi="Times New Roman" w:eastAsia="SimSun"/>
          <w:i w:val="0"/>
          <w:iCs/>
          <w:sz w:val="24"/>
          <w:szCs w:val="24"/>
        </w:rPr>
        <w:t xml:space="preserve">обрания, митинги, демонстрации, шествия и пике</w:t>
      </w:r>
      <w:r>
        <w:rPr>
          <w:rFonts w:ascii="Times New Roman" w:hAnsi="Times New Roman" w:eastAsia="SimSun"/>
          <w:i w:val="0"/>
          <w:iCs/>
          <w:sz w:val="24"/>
          <w:szCs w:val="24"/>
        </w:rPr>
        <w:t xml:space="preserve">тирования проводятся в специально отведенных или приспособленных местах для коллективного обсуждения общественно значимых вопросов и выражения общественных настроений, мнений по поводу актуальных проблем преимущественно общественно-политического характера.</w:t>
      </w:r>
      <w:r>
        <w:rPr>
          <w:sz w:val="24"/>
          <w:szCs w:val="24"/>
        </w:rPr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Как правило, до</w:t>
      </w:r>
      <w:r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  <w:t xml:space="preserve"> начала специальной военной операции (СВО), введения режима чрезвычайной ситуации (ЧС) федерального уровня и режима контртеррористической операции (КТО)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на территории города Белгорода проводились публичные мероприятия, такие как пикеты и митинги. Периодичность проведения пикетов составляла</w:t>
      </w:r>
      <w:r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- 2 раза в месяц, митингов - 1 раз в 2 месяца, средняя продолжительность мероприятий составляла 1</w:t>
      </w:r>
      <w:r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час.</w:t>
      </w:r>
      <w:r>
        <w:rPr>
          <w:sz w:val="24"/>
          <w:szCs w:val="24"/>
        </w:rPr>
      </w:r>
      <w:r/>
    </w:p>
    <w:p>
      <w:pPr>
        <w:ind w:firstLine="708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SimSun"/>
          <w:i w:val="0"/>
          <w:iCs/>
          <w:sz w:val="24"/>
          <w:szCs w:val="24"/>
        </w:rPr>
      </w:pPr>
      <w:r>
        <w:rPr>
          <w:rFonts w:ascii="Times New Roman" w:hAnsi="Times New Roman" w:eastAsia="SimSun"/>
          <w:i w:val="0"/>
          <w:iCs/>
          <w:sz w:val="24"/>
          <w:szCs w:val="24"/>
        </w:rPr>
        <w:t xml:space="preserve">Так, например, </w:t>
      </w:r>
      <w:r>
        <w:rPr>
          <w:rFonts w:ascii="Times New Roman" w:hAnsi="Times New Roman" w:eastAsia="SimSun"/>
          <w:i w:val="0"/>
          <w:iCs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eastAsia="SimSun"/>
          <w:i w:val="0"/>
          <w:iCs/>
          <w:sz w:val="24"/>
          <w:szCs w:val="24"/>
          <w:lang w:val="ru-RU"/>
        </w:rPr>
        <w:t xml:space="preserve"> 2021 году на </w:t>
      </w:r>
      <w:r>
        <w:rPr>
          <w:rFonts w:ascii="Times New Roman" w:hAnsi="Times New Roman" w:eastAsia="SimSun"/>
          <w:i w:val="0"/>
          <w:iCs/>
          <w:sz w:val="24"/>
          <w:szCs w:val="24"/>
        </w:rPr>
        <w:t xml:space="preserve">территории города Белгорода наиболее популярными местами проведения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публичных мероприятий</w:t>
      </w:r>
      <w:r>
        <w:rPr>
          <w:rFonts w:ascii="Times New Roman" w:hAnsi="Times New Roman" w:eastAsia="SimSun"/>
          <w:i w:val="0"/>
          <w:iCs/>
          <w:sz w:val="24"/>
          <w:szCs w:val="24"/>
        </w:rPr>
        <w:t xml:space="preserve"> явля</w:t>
      </w:r>
      <w:r>
        <w:rPr>
          <w:rFonts w:ascii="Times New Roman" w:hAnsi="Times New Roman" w:eastAsia="SimSun"/>
          <w:i w:val="0"/>
          <w:iCs/>
          <w:sz w:val="24"/>
          <w:szCs w:val="24"/>
          <w:lang w:val="ru-RU"/>
        </w:rPr>
        <w:t xml:space="preserve">лись</w:t>
      </w:r>
      <w:r>
        <w:rPr>
          <w:rFonts w:ascii="Times New Roman" w:hAnsi="Times New Roman" w:eastAsia="SimSun"/>
          <w:i w:val="0"/>
          <w:iCs/>
          <w:sz w:val="24"/>
          <w:szCs w:val="24"/>
        </w:rPr>
        <w:t xml:space="preserve">:</w:t>
      </w:r>
      <w:r>
        <w:rPr>
          <w:sz w:val="24"/>
          <w:szCs w:val="24"/>
        </w:rPr>
      </w:r>
      <w:r/>
    </w:p>
    <w:p>
      <w:pPr>
        <w:numPr>
          <w:ilvl w:val="0"/>
          <w:numId w:val="1"/>
        </w:numPr>
        <w:ind w:left="1100" w:hanging="440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Солнечные часы на Народном бульваре;</w:t>
      </w:r>
      <w:r>
        <w:rPr>
          <w:sz w:val="24"/>
          <w:szCs w:val="24"/>
        </w:rPr>
      </w:r>
      <w:r/>
    </w:p>
    <w:p>
      <w:pPr>
        <w:numPr>
          <w:ilvl w:val="0"/>
          <w:numId w:val="1"/>
        </w:numPr>
        <w:ind w:left="1100" w:hanging="440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Аллея по ул. 50-летия Белгородской области в районе дома 13;</w:t>
      </w:r>
      <w:r>
        <w:rPr>
          <w:sz w:val="24"/>
          <w:szCs w:val="24"/>
        </w:rPr>
      </w:r>
      <w:r/>
    </w:p>
    <w:p>
      <w:pPr>
        <w:numPr>
          <w:ilvl w:val="0"/>
          <w:numId w:val="1"/>
        </w:numPr>
        <w:ind w:left="1100" w:hanging="440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Район центральной арки при входе в Белгородский городской парк культуры и отдыха имени Ленина по улице Островского;</w:t>
      </w:r>
      <w:r>
        <w:rPr>
          <w:sz w:val="24"/>
          <w:szCs w:val="24"/>
        </w:rPr>
      </w:r>
      <w:r/>
    </w:p>
    <w:p>
      <w:pPr>
        <w:numPr>
          <w:ilvl w:val="0"/>
          <w:numId w:val="1"/>
        </w:numPr>
        <w:ind w:left="1100" w:hanging="440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Территория Иоасафовского сквера в районе дома 38 и 25 Свято-Троицкого бульвара;</w:t>
      </w:r>
      <w:r>
        <w:rPr>
          <w:sz w:val="24"/>
          <w:szCs w:val="24"/>
        </w:rPr>
      </w:r>
      <w:r/>
    </w:p>
    <w:p>
      <w:pPr>
        <w:numPr>
          <w:ilvl w:val="0"/>
          <w:numId w:val="1"/>
        </w:numPr>
        <w:ind w:left="1100" w:hanging="440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Аллея в районе Дома офицеров по улице Куйбышева, дом 33а;</w:t>
      </w:r>
      <w:r>
        <w:rPr>
          <w:sz w:val="24"/>
          <w:szCs w:val="24"/>
        </w:rPr>
      </w:r>
      <w:r/>
    </w:p>
    <w:p>
      <w:pPr>
        <w:numPr>
          <w:ilvl w:val="0"/>
          <w:numId w:val="1"/>
        </w:numPr>
        <w:ind w:left="1100" w:hanging="440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В районе сцены парка Победы.</w:t>
      </w:r>
      <w:r>
        <w:rPr>
          <w:sz w:val="24"/>
          <w:szCs w:val="24"/>
        </w:rPr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Таким образом, в зону действия ограничений розничной продажи алкогольной продукции и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 розничной продажи алкогольной продукции при оказании услуг общественного питания в период проведения публичных мероприятий на территории города Белгорода в</w:t>
      </w:r>
      <w:r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  <w:t xml:space="preserve"> 2021 году входили 7 (семь) организаций.</w:t>
      </w:r>
      <w:r>
        <w:rPr>
          <w:sz w:val="24"/>
          <w:szCs w:val="24"/>
        </w:rPr>
      </w:r>
      <w:r/>
    </w:p>
    <w:p>
      <w:pPr>
        <w:ind w:left="0" w:right="0" w:firstLine="708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SimSun" w:cs="Times New Roman"/>
          <w:bCs w:val="0"/>
          <w:i w:val="0"/>
          <w:sz w:val="24"/>
          <w:szCs w:val="24"/>
          <w:lang w:val="ru-RU"/>
        </w:rPr>
        <w:t xml:space="preserve">В период с 2022 по</w:t>
      </w:r>
      <w:r>
        <w:rPr>
          <w:rFonts w:hint="default" w:ascii="Times New Roman" w:hAnsi="Times New Roman" w:eastAsia="SimSun" w:cs="Times New Roman"/>
          <w:bCs w:val="0"/>
          <w:i w:val="0"/>
          <w:sz w:val="24"/>
          <w:szCs w:val="24"/>
          <w:lang w:val="ru-RU"/>
        </w:rPr>
        <w:t xml:space="preserve"> 2025 год, в связи с сложившейся оперативной обстановкой на территории </w:t>
      </w:r>
      <w:r>
        <w:rPr>
          <w:rFonts w:hint="default" w:ascii="Times New Roman" w:hAnsi="Times New Roman" w:eastAsia="SimSun" w:cs="Times New Roman"/>
          <w:bCs w:val="0"/>
          <w:i w:val="0"/>
          <w:sz w:val="24"/>
          <w:szCs w:val="24"/>
          <w:lang w:val="ru-RU"/>
        </w:rPr>
        <w:t xml:space="preserve">Белгородской области</w:t>
      </w:r>
      <w:r>
        <w:rPr>
          <w:rFonts w:hint="default" w:ascii="Times New Roman" w:hAnsi="Times New Roman" w:eastAsia="SimSun" w:cs="Times New Roman"/>
          <w:bCs w:val="0"/>
          <w:i w:val="0"/>
          <w:sz w:val="24"/>
          <w:szCs w:val="24"/>
          <w:lang w:val="ru-RU"/>
        </w:rPr>
        <w:t xml:space="preserve">, пикеты и митинги не проводили</w:t>
      </w:r>
      <w:r>
        <w:rPr>
          <w:rFonts w:hint="default" w:ascii="Times New Roman" w:hAnsi="Times New Roman" w:eastAsia="SimSun" w:cs="Times New Roman"/>
          <w:bCs w:val="0"/>
          <w:i w:val="0"/>
          <w:sz w:val="24"/>
          <w:szCs w:val="24"/>
          <w:highlight w:val="none"/>
          <w:lang w:val="ru-RU"/>
        </w:rPr>
        <w:t xml:space="preserve">сь</w:t>
      </w:r>
      <w:r>
        <w:rPr>
          <w:highlight w:val="none"/>
        </w:rPr>
        <w:t xml:space="preserve">.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4"/>
          <w:szCs w:val="24"/>
          <w:highlight w:val="none"/>
        </w:rPr>
      </w:r>
      <w:r/>
    </w:p>
    <w:p>
      <w:pPr>
        <w:ind w:firstLine="708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Times New Roman"/>
          <w:i w:val="0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Упущенная выгода (выручка)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хозяйствующих субъектов, попадающих в зону действия ограничений в период проведения публичных мероприятий (в среднем 1 час) в</w:t>
      </w:r>
      <w:r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  <w:t xml:space="preserve"> 2021 году </w:t>
      </w:r>
      <w:r>
        <w:rPr>
          <w:rFonts w:ascii="Times New Roman" w:hAnsi="Times New Roman" w:eastAsia="Times New Roman"/>
          <w:i w:val="0"/>
          <w:iCs/>
          <w:sz w:val="24"/>
          <w:szCs w:val="24"/>
          <w:lang w:eastAsia="ru-RU"/>
        </w:rPr>
        <w:t xml:space="preserve">составила 119 952 руб. в год</w:t>
      </w:r>
      <w:r>
        <w:rPr>
          <w:rFonts w:hint="default" w:ascii="Times New Roman" w:hAnsi="Times New Roman" w:eastAsia="Times New Roman"/>
          <w:i w:val="0"/>
          <w:iCs/>
          <w:sz w:val="24"/>
          <w:szCs w:val="24"/>
          <w:lang w:val="en-US" w:eastAsia="ru-RU"/>
        </w:rPr>
        <w:t xml:space="preserve">, согласно расчетам в прилагаемой таблице.</w:t>
      </w:r>
      <w:r>
        <w:rPr>
          <w:sz w:val="24"/>
          <w:szCs w:val="24"/>
        </w:rPr>
      </w:r>
      <w:r/>
    </w:p>
    <w:p>
      <w:pPr>
        <w:rPr>
          <w:rFonts w:hint="default" w:ascii="Times New Roman" w:hAnsi="Times New Roman" w:eastAsia="Times New Roman"/>
          <w:i w:val="0"/>
          <w:iCs/>
          <w:sz w:val="28"/>
          <w:szCs w:val="28"/>
          <w:lang w:val="en-US"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568" w:right="567" w:bottom="284" w:left="851" w:header="142" w:footer="709" w:gutter="0"/>
          <w:cols w:num="1" w:sep="0" w:space="1701" w:equalWidth="1"/>
          <w:docGrid w:linePitch="360"/>
          <w:titlePg/>
        </w:sectPr>
      </w:pPr>
      <w:r>
        <w:rPr>
          <w:rFonts w:hint="default" w:ascii="Times New Roman" w:hAnsi="Times New Roman" w:eastAsia="Times New Roman"/>
          <w:i w:val="0"/>
          <w:iCs/>
          <w:sz w:val="28"/>
          <w:szCs w:val="28"/>
          <w:lang w:val="en-US" w:eastAsia="ru-RU"/>
        </w:rPr>
      </w:r>
      <w:r/>
    </w:p>
    <w:p>
      <w:pPr>
        <w:rPr>
          <w:rFonts w:hint="default" w:ascii="Times New Roman" w:hAnsi="Times New Roman" w:eastAsia="Times New Roman"/>
          <w:i w:val="0"/>
          <w:i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i w:val="0"/>
          <w:iCs/>
          <w:sz w:val="28"/>
          <w:szCs w:val="28"/>
          <w:lang w:val="en-US" w:eastAsia="ru-RU"/>
        </w:rPr>
      </w:r>
      <w:r/>
    </w:p>
    <w:p>
      <w:pPr>
        <w:ind w:left="660" w:firstLine="0"/>
        <w:jc w:val="center"/>
        <w:spacing w:after="0"/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Расчет упущенной выгоды (выручки)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организаций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 xml:space="preserve">,</w:t>
      </w:r>
      <w:r/>
    </w:p>
    <w:p>
      <w:pPr>
        <w:ind w:left="660" w:firstLine="0"/>
        <w:jc w:val="center"/>
        <w:spacing w:after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которые 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 xml:space="preserve">в 2021 году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попадали в зону действия ограничений розничной продажи алкогольной продукции и розничной продажи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период проведения публичных мероприятий </w:t>
        <w:br/>
        <w:t xml:space="preserve">на территории города Белгорода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tbl>
      <w:tblPr>
        <w:tblStyle w:val="665"/>
        <w:tblpPr w:horzAnchor="text" w:tblpX="783" w:vertAnchor="text" w:tblpY="1" w:leftFromText="180" w:topFromText="0" w:rightFromText="180" w:bottomFromText="0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"/>
        <w:gridCol w:w="1969"/>
        <w:gridCol w:w="1606"/>
        <w:gridCol w:w="1441"/>
        <w:gridCol w:w="1559"/>
        <w:gridCol w:w="1395"/>
        <w:gridCol w:w="1560"/>
        <w:gridCol w:w="992"/>
        <w:gridCol w:w="1110"/>
        <w:gridCol w:w="1560"/>
        <w:gridCol w:w="1582"/>
      </w:tblGrid>
      <w:tr>
        <w:trPr/>
        <w:tc>
          <w:tcPr>
            <w:shd w:val="clear" w:color="auto" w:fill="auto"/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ind w:left="-142" w:right="-140"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№ п/п</w:t>
            </w:r>
            <w:r/>
          </w:p>
        </w:tc>
        <w:tc>
          <w:tcPr>
            <w:shd w:val="clear" w:color="auto" w:fill="auto"/>
            <w:tcW w:w="1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Наименование организации</w:t>
            </w:r>
            <w:r/>
          </w:p>
        </w:tc>
        <w:tc>
          <w:tcPr>
            <w:shd w:val="clear" w:color="auto" w:fill="auto"/>
            <w:tcW w:w="16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Тип предприятия</w:t>
            </w:r>
            <w:r/>
          </w:p>
        </w:tc>
        <w:tc>
          <w:tcPr>
            <w:shd w:val="clear" w:color="auto" w:fill="auto"/>
            <w:tcW w:w="1441" w:type="dxa"/>
            <w:vAlign w:val="center"/>
            <w:vMerge w:val="restart"/>
            <w:textDirection w:val="lrTb"/>
            <w:noWrap w:val="false"/>
          </w:tcPr>
          <w:p>
            <w:pPr>
              <w:ind w:left="-85" w:right="-108"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Объем реализации алкогольной продукции за ноябрь 2021 г., л</w:t>
            </w:r>
            <w:r/>
          </w:p>
        </w:tc>
        <w:tc>
          <w:tcPr>
            <w:shd w:val="clear" w:color="auto" w:fill="auto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Выручка из расчета средней цены алкогольной продукции 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за ноябрь 2021 г., руб.</w:t>
            </w:r>
            <w:r/>
          </w:p>
        </w:tc>
        <w:tc>
          <w:tcPr>
            <w:shd w:val="clear" w:color="auto" w:fill="auto"/>
            <w:tcW w:w="1395" w:type="dxa"/>
            <w:vAlign w:val="center"/>
            <w:vMerge w:val="restart"/>
            <w:textDirection w:val="lrTb"/>
            <w:noWrap w:val="false"/>
          </w:tcPr>
          <w:p>
            <w:pPr>
              <w:ind w:left="-78" w:right="-81"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Объем реализации алкогольной продукции в ноябре за 1 час, л</w:t>
            </w:r>
            <w:r/>
          </w:p>
        </w:tc>
        <w:tc>
          <w:tcPr>
            <w:shd w:val="clear" w:color="auto" w:fill="auto"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Выручка </w:t>
            </w:r>
            <w:r/>
          </w:p>
          <w:p>
            <w:pPr>
              <w:ind w:left="-108"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из расчета средней цены алкогольной продукции             в ноябре за 1 час, руб.</w:t>
            </w:r>
            <w:r/>
          </w:p>
        </w:tc>
        <w:tc>
          <w:tcPr>
            <w:gridSpan w:val="2"/>
            <w:shd w:val="clear" w:color="auto" w:fill="auto"/>
            <w:tcW w:w="21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Периодичность проведения публичного мероприятия </w:t>
            </w: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br/>
            </w: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в месяц </w:t>
            </w:r>
            <w:r/>
          </w:p>
        </w:tc>
        <w:tc>
          <w:tcPr>
            <w:gridSpan w:val="2"/>
            <w:shd w:val="clear" w:color="auto" w:fill="auto"/>
            <w:tcW w:w="3142" w:type="dxa"/>
            <w:vAlign w:val="center"/>
            <w:textDirection w:val="lrTb"/>
            <w:noWrap w:val="false"/>
          </w:tcPr>
          <w:p>
            <w:pPr>
              <w:ind w:left="-108" w:right="-141"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Упущенная выгода (выручка) в период проведения публичных мероприятий с максимальной периодичностью проведения, руб.</w:t>
            </w:r>
            <w:r/>
          </w:p>
        </w:tc>
      </w:tr>
      <w:tr>
        <w:trPr/>
        <w:tc>
          <w:tcPr>
            <w:shd w:val="clear" w:color="auto" w:fill="auto"/>
            <w:tcW w:w="502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969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606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441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559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39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56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пикет</w:t>
            </w:r>
            <w:r/>
          </w:p>
        </w:tc>
        <w:tc>
          <w:tcPr>
            <w:shd w:val="clear" w:color="auto" w:fill="auto"/>
            <w:tcW w:w="11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митинг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пикет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митинг</w:t>
            </w:r>
            <w:r/>
          </w:p>
        </w:tc>
      </w:tr>
      <w:tr>
        <w:trPr/>
        <w:tc>
          <w:tcPr>
            <w:shd w:val="clear" w:color="auto" w:fill="auto"/>
            <w:tcW w:w="50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/>
          </w:p>
        </w:tc>
        <w:tc>
          <w:tcPr>
            <w:shd w:val="clear" w:color="auto" w:fill="auto"/>
            <w:tcW w:w="1969" w:type="dxa"/>
            <w:vAlign w:val="top"/>
            <w:textDirection w:val="lrTb"/>
            <w:noWrap w:val="false"/>
          </w:tcPr>
          <w:p>
            <w:pPr>
              <w:ind w:left="-43" w:right="-47"/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«Фронт»</w:t>
            </w:r>
            <w:r/>
          </w:p>
        </w:tc>
        <w:tc>
          <w:tcPr>
            <w:shd w:val="clear" w:color="auto" w:fill="auto"/>
            <w:tcW w:w="160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Предприятие общепита</w:t>
            </w:r>
            <w:r/>
          </w:p>
        </w:tc>
        <w:tc>
          <w:tcPr>
            <w:shd w:val="clear" w:color="auto" w:fill="auto"/>
            <w:tcW w:w="144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14,75</w:t>
            </w:r>
            <w:r/>
          </w:p>
        </w:tc>
        <w:tc>
          <w:tcPr>
            <w:shd w:val="clear" w:color="auto" w:fill="auto"/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12 449</w:t>
            </w:r>
            <w:r/>
          </w:p>
        </w:tc>
        <w:tc>
          <w:tcPr>
            <w:shd w:val="clear" w:color="auto" w:fill="auto"/>
            <w:tcW w:w="139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0,035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30</w:t>
            </w:r>
            <w:r/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W w:w="11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60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30</w:t>
            </w:r>
            <w:r/>
          </w:p>
        </w:tc>
      </w:tr>
      <w:tr>
        <w:trPr>
          <w:trHeight w:val="609"/>
        </w:trPr>
        <w:tc>
          <w:tcPr>
            <w:shd w:val="clear" w:color="auto" w:fill="auto"/>
            <w:tcW w:w="50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/>
          </w:p>
        </w:tc>
        <w:tc>
          <w:tcPr>
            <w:shd w:val="clear" w:color="auto" w:fill="auto"/>
            <w:tcW w:w="1969" w:type="dxa"/>
            <w:vAlign w:val="top"/>
            <w:textDirection w:val="lrTb"/>
            <w:noWrap w:val="false"/>
          </w:tcPr>
          <w:p>
            <w:pPr>
              <w:ind w:left="-43" w:right="-47"/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«Потапыч»</w:t>
            </w:r>
            <w:r/>
          </w:p>
        </w:tc>
        <w:tc>
          <w:tcPr>
            <w:shd w:val="clear" w:color="auto" w:fill="auto"/>
            <w:tcW w:w="160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Предприятие общепита</w:t>
            </w:r>
            <w:r/>
          </w:p>
        </w:tc>
        <w:tc>
          <w:tcPr>
            <w:shd w:val="clear" w:color="auto" w:fill="auto"/>
            <w:tcW w:w="144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81,25</w:t>
            </w:r>
            <w:r/>
          </w:p>
        </w:tc>
        <w:tc>
          <w:tcPr>
            <w:shd w:val="clear" w:color="auto" w:fill="auto"/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68 575</w:t>
            </w:r>
            <w:r/>
          </w:p>
        </w:tc>
        <w:tc>
          <w:tcPr>
            <w:shd w:val="clear" w:color="auto" w:fill="auto"/>
            <w:tcW w:w="139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0,193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163</w:t>
            </w:r>
            <w:r/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W w:w="11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326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163</w:t>
            </w:r>
            <w:r/>
          </w:p>
        </w:tc>
      </w:tr>
      <w:tr>
        <w:trPr/>
        <w:tc>
          <w:tcPr>
            <w:shd w:val="clear" w:color="auto" w:fill="auto"/>
            <w:tcW w:w="50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/>
          </w:p>
        </w:tc>
        <w:tc>
          <w:tcPr>
            <w:shd w:val="clear" w:color="auto" w:fill="auto"/>
            <w:tcW w:w="1969" w:type="dxa"/>
            <w:vAlign w:val="top"/>
            <w:textDirection w:val="lrTb"/>
            <w:noWrap w:val="false"/>
          </w:tcPr>
          <w:p>
            <w:pPr>
              <w:ind w:left="-43" w:right="-47"/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«Берил»</w:t>
            </w:r>
            <w:r/>
          </w:p>
        </w:tc>
        <w:tc>
          <w:tcPr>
            <w:shd w:val="clear" w:color="auto" w:fill="auto"/>
            <w:tcW w:w="160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Предприятие общепита</w:t>
            </w:r>
            <w:r/>
          </w:p>
        </w:tc>
        <w:tc>
          <w:tcPr>
            <w:shd w:val="clear" w:color="auto" w:fill="auto"/>
            <w:tcW w:w="144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36,11</w:t>
            </w:r>
            <w:r/>
          </w:p>
        </w:tc>
        <w:tc>
          <w:tcPr>
            <w:shd w:val="clear" w:color="auto" w:fill="auto"/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30 477</w:t>
            </w:r>
            <w:r/>
          </w:p>
        </w:tc>
        <w:tc>
          <w:tcPr>
            <w:shd w:val="clear" w:color="auto" w:fill="auto"/>
            <w:tcW w:w="139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0,086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73</w:t>
            </w:r>
            <w:r/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W w:w="11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146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73</w:t>
            </w:r>
            <w:r/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50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4.</w:t>
            </w:r>
            <w:r/>
          </w:p>
        </w:tc>
        <w:tc>
          <w:tcPr>
            <w:shd w:val="clear" w:color="auto" w:fill="auto"/>
            <w:tcW w:w="1969" w:type="dxa"/>
            <w:vAlign w:val="top"/>
            <w:textDirection w:val="lrTb"/>
            <w:noWrap w:val="false"/>
          </w:tcPr>
          <w:p>
            <w:pPr>
              <w:ind w:left="-43" w:right="-47"/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«ПАБ»</w:t>
            </w:r>
            <w:r/>
          </w:p>
        </w:tc>
        <w:tc>
          <w:tcPr>
            <w:shd w:val="clear" w:color="auto" w:fill="auto"/>
            <w:tcW w:w="160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Предприятие общепита</w:t>
            </w:r>
            <w:r/>
          </w:p>
        </w:tc>
        <w:tc>
          <w:tcPr>
            <w:shd w:val="clear" w:color="auto" w:fill="auto"/>
            <w:tcW w:w="144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80,10</w:t>
            </w:r>
            <w:r/>
          </w:p>
        </w:tc>
        <w:tc>
          <w:tcPr>
            <w:shd w:val="clear" w:color="auto" w:fill="auto"/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67 604</w:t>
            </w:r>
            <w:r/>
          </w:p>
        </w:tc>
        <w:tc>
          <w:tcPr>
            <w:shd w:val="clear" w:color="auto" w:fill="auto"/>
            <w:tcW w:w="139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0,191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161</w:t>
            </w:r>
            <w:r/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W w:w="11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322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161</w:t>
            </w:r>
            <w:r/>
          </w:p>
        </w:tc>
      </w:tr>
      <w:tr>
        <w:trPr/>
        <w:tc>
          <w:tcPr>
            <w:shd w:val="clear" w:color="auto" w:fill="auto"/>
            <w:tcW w:w="50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5.</w:t>
            </w:r>
            <w:r/>
          </w:p>
        </w:tc>
        <w:tc>
          <w:tcPr>
            <w:shd w:val="clear" w:color="auto" w:fill="auto"/>
            <w:tcW w:w="1969" w:type="dxa"/>
            <w:vAlign w:val="top"/>
            <w:textDirection w:val="lrTb"/>
            <w:noWrap w:val="false"/>
          </w:tcPr>
          <w:p>
            <w:pPr>
              <w:ind w:left="-43" w:right="-47"/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«Имбирный пряник»</w:t>
            </w:r>
            <w:r/>
          </w:p>
        </w:tc>
        <w:tc>
          <w:tcPr>
            <w:shd w:val="clear" w:color="auto" w:fill="auto"/>
            <w:tcW w:w="160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Предприятие общепита</w:t>
            </w:r>
            <w:r/>
          </w:p>
        </w:tc>
        <w:tc>
          <w:tcPr>
            <w:shd w:val="clear" w:color="auto" w:fill="auto"/>
            <w:tcW w:w="144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61,65</w:t>
            </w:r>
            <w:r/>
          </w:p>
        </w:tc>
        <w:tc>
          <w:tcPr>
            <w:shd w:val="clear" w:color="auto" w:fill="auto"/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52 033</w:t>
            </w:r>
            <w:r/>
          </w:p>
        </w:tc>
        <w:tc>
          <w:tcPr>
            <w:shd w:val="clear" w:color="auto" w:fill="auto"/>
            <w:tcW w:w="139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0,147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124</w:t>
            </w:r>
            <w:r/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W w:w="11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248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124</w:t>
            </w:r>
            <w:r/>
          </w:p>
        </w:tc>
      </w:tr>
      <w:tr>
        <w:trPr/>
        <w:tc>
          <w:tcPr>
            <w:shd w:val="clear" w:color="auto" w:fill="auto"/>
            <w:tcW w:w="50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6.</w:t>
            </w:r>
            <w:r/>
          </w:p>
        </w:tc>
        <w:tc>
          <w:tcPr>
            <w:shd w:val="clear" w:color="auto" w:fill="auto"/>
            <w:tcW w:w="1969" w:type="dxa"/>
            <w:vAlign w:val="top"/>
            <w:textDirection w:val="lrTb"/>
            <w:noWrap w:val="false"/>
          </w:tcPr>
          <w:p>
            <w:pPr>
              <w:ind w:left="-43" w:right="-47"/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«Агроторг»</w:t>
            </w:r>
            <w:r/>
          </w:p>
        </w:tc>
        <w:tc>
          <w:tcPr>
            <w:shd w:val="clear" w:color="auto" w:fill="auto"/>
            <w:tcW w:w="1606" w:type="dxa"/>
            <w:vAlign w:val="top"/>
            <w:textDirection w:val="lrTb"/>
            <w:noWrap w:val="false"/>
          </w:tcPr>
          <w:p>
            <w:pPr>
              <w:ind w:right="-131"/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Торговое предприятие федеральной сети </w:t>
            </w:r>
            <w:r/>
          </w:p>
        </w:tc>
        <w:tc>
          <w:tcPr>
            <w:shd w:val="clear" w:color="auto" w:fill="auto"/>
            <w:tcW w:w="144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1 006,50</w:t>
            </w:r>
            <w:r/>
          </w:p>
        </w:tc>
        <w:tc>
          <w:tcPr>
            <w:shd w:val="clear" w:color="auto" w:fill="auto"/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849 486</w:t>
            </w:r>
            <w:r/>
          </w:p>
        </w:tc>
        <w:tc>
          <w:tcPr>
            <w:shd w:val="clear" w:color="auto" w:fill="auto"/>
            <w:tcW w:w="139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2,795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2 360</w:t>
            </w:r>
            <w:r/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W w:w="11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4 720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2 360</w:t>
            </w:r>
            <w:r/>
          </w:p>
        </w:tc>
      </w:tr>
      <w:tr>
        <w:trPr/>
        <w:tc>
          <w:tcPr>
            <w:shd w:val="clear" w:color="auto" w:fill="auto"/>
            <w:tcW w:w="50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7.</w:t>
            </w:r>
            <w:r/>
          </w:p>
        </w:tc>
        <w:tc>
          <w:tcPr>
            <w:shd w:val="clear" w:color="auto" w:fill="auto"/>
            <w:tcW w:w="1969" w:type="dxa"/>
            <w:vAlign w:val="top"/>
            <w:textDirection w:val="lrTb"/>
            <w:noWrap w:val="false"/>
          </w:tcPr>
          <w:p>
            <w:pPr>
              <w:ind w:left="-43" w:right="-47"/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«Юпитер»</w:t>
            </w:r>
            <w:r/>
          </w:p>
        </w:tc>
        <w:tc>
          <w:tcPr>
            <w:shd w:val="clear" w:color="auto" w:fill="auto"/>
            <w:tcW w:w="160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Торговое предприятие </w:t>
            </w:r>
            <w:r/>
          </w:p>
        </w:tc>
        <w:tc>
          <w:tcPr>
            <w:shd w:val="clear" w:color="auto" w:fill="auto"/>
            <w:tcW w:w="144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179,75</w:t>
            </w:r>
            <w:r/>
          </w:p>
        </w:tc>
        <w:tc>
          <w:tcPr>
            <w:shd w:val="clear" w:color="auto" w:fill="auto"/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151 709</w:t>
            </w:r>
            <w:r/>
          </w:p>
        </w:tc>
        <w:tc>
          <w:tcPr>
            <w:shd w:val="clear" w:color="auto" w:fill="auto"/>
            <w:tcW w:w="139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0,499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421</w:t>
            </w:r>
            <w:r/>
          </w:p>
        </w:tc>
        <w:tc>
          <w:tcPr>
            <w:shd w:val="clear" w:color="auto" w:fill="auto"/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W w:w="11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842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421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4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Итого </w:t>
            </w:r>
            <w:r/>
          </w:p>
        </w:tc>
        <w:tc>
          <w:tcPr>
            <w:gridSpan w:val="6"/>
            <w:shd w:val="clear" w:color="auto" w:fill="auto"/>
            <w:tcW w:w="8057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в среднем за месяц</w:t>
            </w:r>
            <w:r/>
          </w:p>
        </w:tc>
        <w:tc>
          <w:tcPr>
            <w:shd w:val="clear" w:color="auto" w:fill="auto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6 664</w:t>
            </w:r>
            <w:r/>
          </w:p>
        </w:tc>
        <w:tc>
          <w:tcPr>
            <w:shd w:val="clear" w:color="auto" w:fill="auto"/>
            <w:tcW w:w="158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3 332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4077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gridSpan w:val="6"/>
            <w:shd w:val="clear" w:color="auto" w:fill="auto"/>
            <w:tcW w:w="8057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14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9 996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4077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r>
            <w:r/>
          </w:p>
        </w:tc>
        <w:tc>
          <w:tcPr>
            <w:gridSpan w:val="6"/>
            <w:shd w:val="clear" w:color="auto" w:fill="auto"/>
            <w:tcW w:w="8057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в среднем за год</w:t>
            </w:r>
            <w:r/>
          </w:p>
        </w:tc>
        <w:tc>
          <w:tcPr>
            <w:gridSpan w:val="2"/>
            <w:shd w:val="clear" w:color="auto" w:fill="auto"/>
            <w:tcW w:w="314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</w:rPr>
              <w:t xml:space="preserve">119 952</w:t>
            </w:r>
            <w:r/>
          </w:p>
        </w:tc>
      </w:tr>
    </w:tbl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color w:val="22272f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22272f"/>
          <w:sz w:val="24"/>
          <w:szCs w:val="23"/>
          <w:shd w:val="clear" w:color="auto" w:fill="ffffff"/>
        </w:rPr>
      </w:r>
      <w:r/>
    </w:p>
    <w:p>
      <w:pPr>
        <w:ind w:left="660" w:firstLine="0"/>
        <w:spacing w:after="0"/>
        <w:rPr>
          <w:rFonts w:ascii="Times New Roman" w:hAnsi="Times New Roman"/>
          <w:color w:val="auto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3"/>
          <w:shd w:val="clear" w:color="auto" w:fill="ffffff"/>
        </w:rPr>
        <w:t xml:space="preserve">Примечание.</w:t>
      </w:r>
      <w:r/>
    </w:p>
    <w:p>
      <w:pPr>
        <w:ind w:left="660" w:firstLine="0"/>
        <w:spacing w:after="0"/>
        <w:rPr>
          <w:rFonts w:ascii="Times New Roman" w:hAnsi="Times New Roman"/>
          <w:color w:val="auto"/>
          <w:sz w:val="24"/>
          <w:szCs w:val="23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3"/>
          <w:shd w:val="clear" w:color="auto" w:fill="ffffff"/>
        </w:rPr>
        <w:t xml:space="preserve">Среднемесячная цена алкогольной продукции на территории Белгородской области в ноябре 2021 г. – 844 руб. (по данным ЕГАИС) </w:t>
      </w:r>
      <w:r/>
    </w:p>
    <w:p>
      <w:pPr>
        <w:ind w:left="66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eastAsia="Times New Roman"/>
          <w:i w:val="0"/>
          <w:iCs/>
          <w:color w:val="auto"/>
          <w:sz w:val="28"/>
          <w:szCs w:val="28"/>
          <w:lang w:val="en-US" w:eastAsia="ru-RU"/>
        </w:rPr>
      </w:pPr>
      <w:r>
        <w:rPr>
          <w:rFonts w:ascii="Times New Roman" w:hAnsi="Times New Roman"/>
          <w:color w:val="auto"/>
          <w:sz w:val="24"/>
          <w:szCs w:val="23"/>
          <w:shd w:val="clear" w:color="auto" w:fill="ffffff"/>
        </w:rPr>
        <w:t xml:space="preserve">Продолжительность публичного мероприятия – 1 час. Разрешенное время розничной продажи</w:t>
      </w:r>
      <w:r>
        <w:rPr>
          <w:rFonts w:ascii="Times New Roman" w:hAnsi="Times New Roman"/>
          <w:color w:val="auto"/>
          <w:sz w:val="24"/>
          <w:szCs w:val="23"/>
          <w:shd w:val="clear" w:color="auto" w:fill="ffffff"/>
        </w:rPr>
        <w:t xml:space="preserve"> алкогольной продукции на территории Белгородской области: для торговых предприятий с 10.00 до 22.00 ч., для предприятий общественного питания в условиях пандемии с 06.00 до 00.00 ч. Режим работы данных предприятий общественного питания с 10.00 до 00.00 ч.</w:t>
      </w:r>
      <w:r/>
    </w:p>
    <w:sectPr>
      <w:footnotePr/>
      <w:endnotePr/>
      <w:type w:val="nextPage"/>
      <w:pgSz w:w="16838" w:h="11906" w:orient="landscape"/>
      <w:pgMar w:top="851" w:right="1135" w:bottom="567" w:left="284" w:header="142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84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link w:val="848"/>
    <w:uiPriority w:val="0"/>
    <w:qFormat/>
    <w:pPr>
      <w:spacing w:after="160" w:line="259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  <w:qFormat/>
  </w:style>
  <w:style w:type="table" w:styleId="66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6">
    <w:name w:val="footnote reference"/>
    <w:uiPriority w:val="99"/>
    <w:unhideWhenUsed/>
    <w:qFormat/>
    <w:rPr>
      <w:vertAlign w:val="superscript"/>
    </w:rPr>
  </w:style>
  <w:style w:type="character" w:styleId="667">
    <w:name w:val="endnote reference"/>
    <w:uiPriority w:val="99"/>
    <w:semiHidden/>
    <w:unhideWhenUsed/>
    <w:qFormat/>
    <w:rPr>
      <w:vertAlign w:val="superscript"/>
    </w:rPr>
  </w:style>
  <w:style w:type="character" w:styleId="668">
    <w:name w:val="Emphasis"/>
    <w:basedOn w:val="664"/>
    <w:uiPriority w:val="99"/>
    <w:unhideWhenUsed/>
    <w:qFormat/>
    <w:rPr>
      <w:rFonts w:hint="default"/>
      <w:i/>
      <w:sz w:val="24"/>
      <w:szCs w:val="24"/>
    </w:rPr>
  </w:style>
  <w:style w:type="character" w:styleId="669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70">
    <w:name w:val="endnote text"/>
    <w:basedOn w:val="654"/>
    <w:link w:val="833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71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72">
    <w:name w:val="footnote text"/>
    <w:basedOn w:val="654"/>
    <w:link w:val="832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73">
    <w:name w:val="toc 8"/>
    <w:basedOn w:val="654"/>
    <w:next w:val="654"/>
    <w:uiPriority w:val="39"/>
    <w:unhideWhenUsed/>
    <w:qFormat/>
    <w:pPr>
      <w:ind w:left="1984" w:right="0" w:firstLine="0"/>
      <w:spacing w:after="57"/>
    </w:pPr>
  </w:style>
  <w:style w:type="paragraph" w:styleId="674">
    <w:name w:val="Header"/>
    <w:basedOn w:val="654"/>
    <w:link w:val="70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5">
    <w:name w:val="toc 9"/>
    <w:basedOn w:val="654"/>
    <w:next w:val="654"/>
    <w:uiPriority w:val="39"/>
    <w:unhideWhenUsed/>
    <w:qFormat/>
    <w:pPr>
      <w:ind w:left="2268" w:right="0" w:firstLine="0"/>
      <w:spacing w:after="57"/>
    </w:pPr>
  </w:style>
  <w:style w:type="paragraph" w:styleId="676">
    <w:name w:val="toc 7"/>
    <w:basedOn w:val="654"/>
    <w:next w:val="654"/>
    <w:uiPriority w:val="39"/>
    <w:unhideWhenUsed/>
    <w:qFormat/>
    <w:pPr>
      <w:ind w:left="1701" w:right="0" w:firstLine="0"/>
      <w:spacing w:after="57"/>
    </w:pPr>
  </w:style>
  <w:style w:type="paragraph" w:styleId="677">
    <w:name w:val="toc 1"/>
    <w:basedOn w:val="654"/>
    <w:next w:val="654"/>
    <w:uiPriority w:val="39"/>
    <w:unhideWhenUsed/>
    <w:qFormat/>
    <w:pPr>
      <w:ind w:left="0" w:right="0" w:firstLine="0"/>
      <w:spacing w:after="57"/>
    </w:pPr>
  </w:style>
  <w:style w:type="paragraph" w:styleId="678">
    <w:name w:val="toc 6"/>
    <w:basedOn w:val="654"/>
    <w:next w:val="654"/>
    <w:uiPriority w:val="39"/>
    <w:unhideWhenUsed/>
    <w:qFormat/>
    <w:pPr>
      <w:ind w:left="1417" w:right="0" w:firstLine="0"/>
      <w:spacing w:after="57"/>
    </w:pPr>
  </w:style>
  <w:style w:type="paragraph" w:styleId="679">
    <w:name w:val="table of figures"/>
    <w:basedOn w:val="654"/>
    <w:next w:val="654"/>
    <w:uiPriority w:val="99"/>
    <w:unhideWhenUsed/>
    <w:qFormat/>
    <w:pPr>
      <w:spacing w:after="0" w:afterAutospacing="0"/>
    </w:pPr>
  </w:style>
  <w:style w:type="paragraph" w:styleId="680">
    <w:name w:val="toc 3"/>
    <w:basedOn w:val="654"/>
    <w:next w:val="654"/>
    <w:uiPriority w:val="39"/>
    <w:unhideWhenUsed/>
    <w:qFormat/>
    <w:pPr>
      <w:ind w:left="567" w:right="0" w:firstLine="0"/>
      <w:spacing w:after="57"/>
    </w:pPr>
  </w:style>
  <w:style w:type="paragraph" w:styleId="681">
    <w:name w:val="toc 2"/>
    <w:basedOn w:val="654"/>
    <w:next w:val="654"/>
    <w:uiPriority w:val="39"/>
    <w:unhideWhenUsed/>
    <w:qFormat/>
    <w:pPr>
      <w:ind w:left="283" w:right="0" w:firstLine="0"/>
      <w:spacing w:after="57"/>
    </w:pPr>
  </w:style>
  <w:style w:type="paragraph" w:styleId="682">
    <w:name w:val="toc 4"/>
    <w:basedOn w:val="654"/>
    <w:next w:val="654"/>
    <w:uiPriority w:val="39"/>
    <w:unhideWhenUsed/>
    <w:qFormat/>
    <w:pPr>
      <w:ind w:left="850" w:right="0" w:firstLine="0"/>
      <w:spacing w:after="57"/>
    </w:pPr>
  </w:style>
  <w:style w:type="paragraph" w:styleId="683">
    <w:name w:val="toc 5"/>
    <w:basedOn w:val="654"/>
    <w:next w:val="654"/>
    <w:uiPriority w:val="39"/>
    <w:unhideWhenUsed/>
    <w:qFormat/>
    <w:pPr>
      <w:ind w:left="1134" w:right="0" w:firstLine="0"/>
      <w:spacing w:after="57"/>
    </w:pPr>
  </w:style>
  <w:style w:type="paragraph" w:styleId="684">
    <w:name w:val="Title"/>
    <w:basedOn w:val="654"/>
    <w:next w:val="654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5">
    <w:name w:val="Footer"/>
    <w:basedOn w:val="654"/>
    <w:link w:val="70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6">
    <w:name w:val="Subtitle"/>
    <w:basedOn w:val="654"/>
    <w:next w:val="654"/>
    <w:link w:val="699"/>
    <w:uiPriority w:val="11"/>
    <w:qFormat/>
    <w:pPr>
      <w:spacing w:before="200" w:after="200"/>
    </w:pPr>
    <w:rPr>
      <w:sz w:val="24"/>
      <w:szCs w:val="24"/>
    </w:rPr>
  </w:style>
  <w:style w:type="table" w:styleId="687">
    <w:name w:val="Table Grid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88" w:customStyle="1">
    <w:name w:val="Heading 1 Char"/>
    <w:link w:val="655"/>
    <w:uiPriority w:val="9"/>
    <w:qFormat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link w:val="656"/>
    <w:uiPriority w:val="9"/>
    <w:qFormat/>
    <w:rPr>
      <w:rFonts w:ascii="Arial" w:hAnsi="Arial" w:eastAsia="Arial" w:cs="Arial"/>
      <w:sz w:val="34"/>
    </w:rPr>
  </w:style>
  <w:style w:type="character" w:styleId="690" w:customStyle="1">
    <w:name w:val="Heading 3 Char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link w:val="6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  <w:rPr>
      <w:rFonts w:hint="default" w:ascii="Calibri" w:hAnsi="Calibri" w:eastAsia="Calibri" w:cs="Times New Roman"/>
    </w:rPr>
  </w:style>
  <w:style w:type="character" w:styleId="698" w:customStyle="1">
    <w:name w:val="Title Char"/>
    <w:link w:val="684"/>
    <w:uiPriority w:val="10"/>
    <w:qFormat/>
    <w:rPr>
      <w:sz w:val="48"/>
      <w:szCs w:val="48"/>
    </w:rPr>
  </w:style>
  <w:style w:type="character" w:styleId="699" w:customStyle="1">
    <w:name w:val="Subtitle Char"/>
    <w:link w:val="686"/>
    <w:uiPriority w:val="11"/>
    <w:qFormat/>
    <w:rPr>
      <w:sz w:val="24"/>
      <w:szCs w:val="24"/>
    </w:rPr>
  </w:style>
  <w:style w:type="paragraph" w:styleId="700">
    <w:name w:val="Quote"/>
    <w:basedOn w:val="654"/>
    <w:next w:val="654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Quote Char"/>
    <w:link w:val="700"/>
    <w:uiPriority w:val="29"/>
    <w:qFormat/>
    <w:rPr>
      <w:i/>
    </w:rPr>
  </w:style>
  <w:style w:type="paragraph" w:styleId="702">
    <w:name w:val="Intense Quote"/>
    <w:basedOn w:val="654"/>
    <w:next w:val="6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Intense Quote Char"/>
    <w:link w:val="702"/>
    <w:uiPriority w:val="30"/>
    <w:qFormat/>
    <w:rPr>
      <w:i/>
    </w:rPr>
  </w:style>
  <w:style w:type="character" w:styleId="704" w:customStyle="1">
    <w:name w:val="Header Char"/>
    <w:link w:val="674"/>
    <w:uiPriority w:val="99"/>
    <w:qFormat/>
  </w:style>
  <w:style w:type="character" w:styleId="705" w:customStyle="1">
    <w:name w:val="Footer Char"/>
    <w:link w:val="685"/>
    <w:uiPriority w:val="99"/>
    <w:qFormat/>
  </w:style>
  <w:style w:type="character" w:styleId="706" w:customStyle="1">
    <w:name w:val="Caption Char"/>
    <w:link w:val="685"/>
    <w:uiPriority w:val="99"/>
    <w:qFormat/>
  </w:style>
  <w:style w:type="table" w:styleId="707" w:customStyle="1">
    <w:name w:val="Table Grid Light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6" w:customStyle="1">
    <w:name w:val="Grid Table 4 - Accent 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7" w:customStyle="1">
    <w:name w:val="Grid Table 4 - Accent 3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8" w:customStyle="1">
    <w:name w:val="Grid Table 4 - Accent 4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9" w:customStyle="1">
    <w:name w:val="Grid Table 6 Colorful - Accent 1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0" w:customStyle="1">
    <w:name w:val="Grid Table 6 Colorful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1" w:customStyle="1">
    <w:name w:val="Grid Table 6 Colorful - Accent 3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2" w:customStyle="1">
    <w:name w:val="Grid Table 6 Colorful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3" w:customStyle="1">
    <w:name w:val="Grid Table 6 Colorful - Accent 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4" w:customStyle="1">
    <w:name w:val="Grid Table 6 Colorful - Accent 6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5" w:customStyle="1">
    <w:name w:val="Grid Table 7 Colorful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1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2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3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4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5 Dark - Accent 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6" w:customStyle="1">
    <w:name w:val="List Table 5 Dark - Accent 6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6 Colorful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8" w:customStyle="1">
    <w:name w:val="List Table 6 Colorful - Accent 1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00" w:customStyle="1">
    <w:name w:val="List Table 6 Colorful - Accent 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01" w:customStyle="1">
    <w:name w:val="List Table 6 Colorful - Accent 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2" w:customStyle="1">
    <w:name w:val="Lined - Accent 1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3" w:customStyle="1">
    <w:name w:val="Lined - Accent 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4" w:customStyle="1">
    <w:name w:val="Lined - Accent 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5" w:customStyle="1">
    <w:name w:val="Lined - Accent 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Lined - Accent 5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Lined - Accent 6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 &amp; Lined - Accent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9" w:customStyle="1">
    <w:name w:val="Bordered &amp; Lined - Accent 1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0" w:customStyle="1">
    <w:name w:val="Bordered &amp; Lined - Accent 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1" w:customStyle="1">
    <w:name w:val="Bordered &amp; Lined - Accent 3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2" w:customStyle="1">
    <w:name w:val="Bordered &amp; Lined - Accent 4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Bordered &amp; Lined - Accent 5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Bordered &amp; Lined - Accent 6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6" w:customStyle="1">
    <w:name w:val="Bordered - Accent 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8" w:customStyle="1">
    <w:name w:val="Bordered - Accent 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9" w:customStyle="1">
    <w:name w:val="Bordered - Accent 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 w:customStyle="1">
    <w:name w:val="Footnote Text Char"/>
    <w:link w:val="672"/>
    <w:uiPriority w:val="99"/>
    <w:qFormat/>
    <w:rPr>
      <w:sz w:val="18"/>
    </w:rPr>
  </w:style>
  <w:style w:type="character" w:styleId="833" w:customStyle="1">
    <w:name w:val="Endnote Text Char"/>
    <w:link w:val="670"/>
    <w:uiPriority w:val="99"/>
    <w:qFormat/>
    <w:rPr>
      <w:sz w:val="20"/>
    </w:rPr>
  </w:style>
  <w:style w:type="paragraph" w:styleId="834" w:customStyle="1">
    <w:name w:val="TOC Heading"/>
    <w:uiPriority w:val="39"/>
    <w:unhideWhenUsed/>
    <w:qFormat/>
    <w:rPr>
      <w:rFonts w:hint="default" w:ascii="Calibri" w:hAnsi="Calibri" w:eastAsia="Calibri" w:cs="Times New Roman"/>
    </w:rPr>
  </w:style>
  <w:style w:type="character" w:styleId="835" w:customStyle="1">
    <w:name w:val="Основной шрифт абзаца1"/>
    <w:link w:val="654"/>
    <w:uiPriority w:val="1"/>
    <w:unhideWhenUsed/>
    <w:qFormat/>
  </w:style>
  <w:style w:type="table" w:styleId="836" w:customStyle="1">
    <w:name w:val="Обычная таблица1"/>
    <w:uiPriority w:val="99"/>
    <w:unhideWhenUsed/>
    <w:qFormat/>
    <w:tblPr/>
  </w:style>
  <w:style w:type="character" w:styleId="837" w:customStyle="1">
    <w:name w:val="Выделение1"/>
    <w:link w:val="654"/>
    <w:uiPriority w:val="20"/>
    <w:qFormat/>
    <w:rPr>
      <w:i/>
      <w:iCs/>
    </w:rPr>
  </w:style>
  <w:style w:type="character" w:styleId="838" w:customStyle="1">
    <w:name w:val="Гиперссылка1"/>
    <w:link w:val="654"/>
    <w:uiPriority w:val="99"/>
    <w:unhideWhenUsed/>
    <w:qFormat/>
    <w:rPr>
      <w:color w:val="0000ff"/>
      <w:u w:val="single"/>
    </w:rPr>
  </w:style>
  <w:style w:type="paragraph" w:styleId="839" w:customStyle="1">
    <w:name w:val="Текст выноски1"/>
    <w:basedOn w:val="654"/>
    <w:link w:val="840"/>
    <w:uiPriority w:val="99"/>
    <w:unhideWhenUsed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styleId="840" w:customStyle="1">
    <w:name w:val="Текст выноски Знак"/>
    <w:link w:val="839"/>
    <w:uiPriority w:val="99"/>
    <w:semiHidden/>
    <w:qFormat/>
    <w:rPr>
      <w:rFonts w:ascii="Segoe UI" w:hAnsi="Segoe UI" w:cs="Segoe UI"/>
      <w:sz w:val="18"/>
      <w:szCs w:val="18"/>
    </w:rPr>
  </w:style>
  <w:style w:type="paragraph" w:styleId="841" w:customStyle="1">
    <w:name w:val="Верхний колонтитул1"/>
    <w:basedOn w:val="654"/>
    <w:link w:val="842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link w:val="841"/>
    <w:uiPriority w:val="99"/>
    <w:qFormat/>
    <w:rPr>
      <w:sz w:val="22"/>
      <w:szCs w:val="22"/>
      <w:lang w:eastAsia="en-US"/>
    </w:rPr>
  </w:style>
  <w:style w:type="paragraph" w:styleId="843" w:customStyle="1">
    <w:name w:val="Нижний колонтитул1"/>
    <w:basedOn w:val="654"/>
    <w:link w:val="844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link w:val="843"/>
    <w:uiPriority w:val="99"/>
    <w:qFormat/>
    <w:rPr>
      <w:sz w:val="22"/>
      <w:szCs w:val="22"/>
      <w:lang w:eastAsia="en-US"/>
    </w:rPr>
  </w:style>
  <w:style w:type="table" w:styleId="845" w:customStyle="1">
    <w:name w:val="Сетка таблицы1"/>
    <w:basedOn w:val="836"/>
    <w:uiPriority w:val="39"/>
    <w:qFormat/>
    <w:tblPr/>
  </w:style>
  <w:style w:type="paragraph" w:styleId="846" w:customStyle="1">
    <w:name w:val="ConsPlusNormal"/>
    <w:uiPriority w:val="0"/>
    <w:qFormat/>
    <w:pPr>
      <w:widowControl w:val="off"/>
    </w:pPr>
    <w:rPr>
      <w:rFonts w:hint="default" w:ascii="Calibri" w:hAnsi="Calibri" w:eastAsia="Times New Roman" w:cs="Calibri"/>
      <w:sz w:val="22"/>
      <w:lang w:val="ru-RU" w:eastAsia="ru-RU" w:bidi="ar-SA"/>
    </w:rPr>
  </w:style>
  <w:style w:type="character" w:styleId="847" w:customStyle="1">
    <w:name w:val="s_10"/>
    <w:basedOn w:val="835"/>
    <w:link w:val="654"/>
    <w:uiPriority w:val="0"/>
    <w:qFormat/>
  </w:style>
  <w:style w:type="character" w:styleId="848" w:customStyle="1">
    <w:name w:val="apple-converted-space"/>
    <w:basedOn w:val="835"/>
    <w:link w:val="654"/>
    <w:uiPriority w:val="0"/>
    <w:qFormat/>
  </w:style>
  <w:style w:type="paragraph" w:styleId="849" w:customStyle="1">
    <w:name w:val="1"/>
    <w:basedOn w:val="654"/>
    <w:uiPriority w:val="0"/>
    <w:qFormat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850">
    <w:name w:val="List Paragraph"/>
    <w:basedOn w:val="6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numbering" w:styleId="85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</Company>
  <DocSecurity>0</DocSecurity>
  <LinksUpToDate>false</LinksUpToDate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</dc:creator>
  <cp:revision>7</cp:revision>
  <dcterms:created xsi:type="dcterms:W3CDTF">2022-05-21T23:30:00Z</dcterms:created>
  <dcterms:modified xsi:type="dcterms:W3CDTF">2026-04-13T13:37:11Z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