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ind w:left="0"/>
        <w:jc w:val="right"/>
        <w:spacing w:after="600" w:line="17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10b23"/>
          <w:sz w:val="24"/>
          <w:szCs w:val="24"/>
        </w:rPr>
        <w:t xml:space="preserve">ПРОЕКТ</w:t>
      </w:r>
      <w:r/>
    </w:p>
    <w:p>
      <w:pPr>
        <w:pStyle w:val="671"/>
        <w:ind w:left="0"/>
        <w:jc w:val="center"/>
        <w:spacing w:after="600" w:line="17" w:lineRule="atLeast"/>
        <w:shd w:val="clear" w:color="ffffff" w:fill="ffffff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</w:rPr>
      </w:r>
      <w:r/>
    </w:p>
    <w:p>
      <w:pPr>
        <w:pStyle w:val="671"/>
        <w:ind w:left="0"/>
        <w:jc w:val="center"/>
        <w:spacing w:after="600" w:line="17" w:lineRule="atLeast"/>
        <w:shd w:val="clear" w:color="ffffff" w:fill="ffffff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jc w:val="center"/>
      </w:pPr>
      <w:r>
        <w:rPr>
          <w:b/>
          <w:sz w:val="24"/>
        </w:rPr>
        <w:t xml:space="preserve">Заключение об экспертизе</w:t>
      </w:r>
      <w:r/>
    </w:p>
    <w:p>
      <w:pPr>
        <w:jc w:val="center"/>
      </w:pPr>
      <w:r/>
      <w:r/>
    </w:p>
    <w:p>
      <w:pPr>
        <w:jc w:val="center"/>
        <w:rPr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ия Правительства Белгородской области от 15 августа 2016 года № 306-пп </w:t>
        <w:br/>
      </w:r>
      <w:r>
        <w:rPr>
          <w:rFonts w:ascii="Times New Roman" w:hAnsi="Times New Roman" w:eastAsia="TimesNew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Об утверждении Порядка разработки и утверждения нормативов образования отходов и лимитов на их размещение применительно к хозяйственной и (или) иной деятельности юри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дических лиц </w:t>
        <w:br/>
        <w:t xml:space="preserve">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</w:r>
      <w:r>
        <w:rPr>
          <w:rFonts w:ascii="Times New Roman" w:hAnsi="Times New Roman" w:eastAsia="TimesNewRoman" w:cs="Times New Roman"/>
          <w:sz w:val="24"/>
          <w:szCs w:val="24"/>
        </w:rPr>
        <w:t xml:space="preserve">»</w:t>
      </w:r>
      <w:r>
        <w:rPr>
          <w:sz w:val="24"/>
          <w:szCs w:val="24"/>
        </w:rPr>
      </w:r>
      <w:r/>
    </w:p>
    <w:p>
      <w:pPr>
        <w:jc w:val="both"/>
      </w:pPr>
      <w:r/>
      <w:r/>
    </w:p>
    <w:p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lang w:eastAsia="en-US"/>
        </w:rPr>
        <w:t xml:space="preserve">Министерством экономического развития и промышленности Белгородской области </w:t>
      </w:r>
      <w:r>
        <w:rPr>
          <w:rFonts w:eastAsia="Calibri"/>
          <w:sz w:val="24"/>
          <w:lang w:eastAsia="en-US"/>
        </w:rPr>
        <w:br/>
        <w:t xml:space="preserve">в соответствии с по</w:t>
      </w:r>
      <w:r>
        <w:rPr>
          <w:rFonts w:eastAsia="Calibri"/>
          <w:sz w:val="24"/>
          <w:lang w:eastAsia="en-US"/>
        </w:rPr>
        <w:t xml:space="preserve">становлением Правительства Белгородской области 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</w:t>
      </w:r>
      <w:r>
        <w:rPr>
          <w:rFonts w:eastAsia="Calibri"/>
          <w:sz w:val="24"/>
          <w:lang w:eastAsia="en-US"/>
        </w:rPr>
        <w:t xml:space="preserve"> рассмотрено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ие Правительства Белгородской области от 15 августа 2016 года № 306-пп </w:t>
      </w:r>
      <w:r>
        <w:rPr>
          <w:rFonts w:ascii="Times New Roman" w:hAnsi="Times New Roman" w:eastAsia="TimesNew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Об утверждении Порядка разработки и утверждения нормативов образования отходов и лимитов на их размещение применительно к хозяйственной и (или) иной деятельности юри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дических лиц </w:t>
        <w:br/>
        <w:t xml:space="preserve">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</w:r>
      <w:r>
        <w:rPr>
          <w:rFonts w:ascii="Times New Roman" w:hAnsi="Times New Roman" w:eastAsia="TimesNewRoman" w:cs="Times New Roman"/>
          <w:sz w:val="24"/>
          <w:szCs w:val="24"/>
        </w:rPr>
        <w:t xml:space="preserve">», </w:t>
      </w:r>
      <w:r>
        <w:rPr>
          <w:sz w:val="24"/>
        </w:rPr>
        <w:t xml:space="preserve">разработанное </w:t>
      </w:r>
      <w:r>
        <w:rPr>
          <w:rFonts w:eastAsia="Arial"/>
          <w:color w:val="010b23"/>
          <w:sz w:val="24"/>
          <w:szCs w:val="24"/>
        </w:rPr>
        <w:t xml:space="preserve">департаментом </w:t>
      </w:r>
      <w:r>
        <w:rPr>
          <w:rFonts w:eastAsia="Arial"/>
          <w:color w:val="010b23"/>
          <w:sz w:val="24"/>
          <w:szCs w:val="24"/>
        </w:rPr>
        <w:t xml:space="preserve">жилищно-коммунального</w:t>
      </w:r>
      <w:r>
        <w:rPr>
          <w:rFonts w:eastAsia="Arial"/>
          <w:color w:val="010b23"/>
          <w:sz w:val="24"/>
          <w:szCs w:val="24"/>
        </w:rPr>
        <w:t xml:space="preserve"> хозяйства Белгородской области</w:t>
      </w:r>
      <w:r>
        <w:rPr>
          <w:rFonts w:eastAsia="Arial"/>
          <w:color w:val="010b23"/>
          <w:sz w:val="24"/>
          <w:szCs w:val="24"/>
        </w:rPr>
        <w:t xml:space="preserve"> (в настоящее время министерство жилищно-коммунального</w:t>
      </w:r>
      <w:r>
        <w:rPr>
          <w:rFonts w:eastAsia="Arial"/>
          <w:color w:val="010b23"/>
          <w:sz w:val="24"/>
          <w:szCs w:val="24"/>
        </w:rPr>
        <w:t xml:space="preserve"> хозяйства области)</w:t>
      </w:r>
      <w:r>
        <w:rPr>
          <w:sz w:val="24"/>
        </w:rPr>
        <w:t xml:space="preserve">.</w:t>
      </w:r>
      <w:r>
        <w:rPr>
          <w:sz w:val="24"/>
          <w:szCs w:val="24"/>
        </w:rPr>
      </w:r>
      <w:r/>
    </w:p>
    <w:p>
      <w:pPr>
        <w:ind w:firstLine="708"/>
        <w:jc w:val="both"/>
      </w:pPr>
      <w:r>
        <w:rPr>
          <w:rFonts w:eastAsia="Calibri"/>
          <w:b/>
          <w:sz w:val="24"/>
          <w:lang w:eastAsia="en-US"/>
        </w:rPr>
        <w:t xml:space="preserve">1. Настоящее заключение подготовлено</w:t>
      </w:r>
      <w:r>
        <w:rPr>
          <w:rFonts w:eastAsia="Calibri"/>
          <w:sz w:val="24"/>
          <w:lang w:eastAsia="en-US"/>
        </w:rPr>
        <w:t xml:space="preserve"> впервые.</w:t>
      </w:r>
      <w:r/>
    </w:p>
    <w:p>
      <w:pPr>
        <w:ind w:firstLine="708"/>
        <w:jc w:val="both"/>
        <w:rPr>
          <w:color w:val="000000" w:themeColor="text1"/>
          <w:sz w:val="24"/>
        </w:rPr>
      </w:pPr>
      <w:r>
        <w:rPr>
          <w:rFonts w:eastAsia="Calibri"/>
          <w:b/>
          <w:color w:val="000000" w:themeColor="text1"/>
          <w:sz w:val="24"/>
          <w:lang w:eastAsia="en-US"/>
        </w:rPr>
        <w:t xml:space="preserve">2. Уполномоченным органом пр</w:t>
      </w:r>
      <w:r>
        <w:rPr>
          <w:rFonts w:eastAsia="Calibri"/>
          <w:b/>
          <w:color w:val="000000" w:themeColor="text1"/>
          <w:sz w:val="24"/>
          <w:lang w:eastAsia="en-US"/>
        </w:rPr>
        <w:t xml:space="preserve">оведены публичные консультации в сроки</w:t>
      </w:r>
      <w:r>
        <w:rPr>
          <w:rFonts w:eastAsia="Calibri"/>
          <w:color w:val="000000" w:themeColor="text1"/>
          <w:sz w:val="24"/>
          <w:lang w:eastAsia="en-US"/>
        </w:rPr>
        <w:t xml:space="preserve">: 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с 10 апреля по 8 мая 2026 года.</w:t>
      </w:r>
      <w:r/>
    </w:p>
    <w:p>
      <w:pPr>
        <w:ind w:left="0" w:right="0" w:firstLine="708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4"/>
          <w:highlight w:val="none"/>
          <w:lang w:eastAsia="en-US"/>
        </w:rPr>
        <w:t xml:space="preserve">В ходе проведения публичных консультаций участие в обсуждении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ия Правительства Белгородской области от 15 августа 2016 года № 306-пп</w:t>
      </w:r>
      <w:r>
        <w:rPr>
          <w:rFonts w:eastAsia="Calibri"/>
          <w:color w:val="000000" w:themeColor="text1"/>
          <w:sz w:val="24"/>
          <w:highlight w:val="none"/>
          <w:lang w:eastAsia="en-US"/>
        </w:rPr>
        <w:t xml:space="preserve"> приняли Союз «Торгово-промышленная палата Белгородской области», БРОО «ЦСИ «Вера»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,  о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тдел контрольно-организационной работы и правового обеспечения министерства жилищно-коммунального хозяйства области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8"/>
        <w:jc w:val="both"/>
      </w:pPr>
      <w:r>
        <w:rPr>
          <w:rFonts w:eastAsia="Calibri"/>
          <w:color w:val="000000" w:themeColor="text1"/>
          <w:sz w:val="24"/>
          <w:lang w:eastAsia="en-US"/>
        </w:rPr>
        <w:t xml:space="preserve">Поступило 6 предложений и замечаний. Отзывы участников приведены в сводке предложений.</w:t>
      </w:r>
      <w:r/>
    </w:p>
    <w:p>
      <w:pPr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</w:t>
      </w:r>
      <w:r>
        <w:rPr>
          <w:b/>
          <w:bCs/>
          <w:sz w:val="24"/>
        </w:rPr>
        <w:t xml:space="preserve"> </w:t>
      </w:r>
      <w:r>
        <w:rPr>
          <w:rFonts w:eastAsia="Calibri"/>
          <w:b/>
          <w:bCs/>
          <w:sz w:val="24"/>
          <w:lang w:eastAsia="en-US"/>
        </w:rPr>
        <w:t xml:space="preserve">на сайте: </w:t>
      </w:r>
      <w:r>
        <w:rPr>
          <w:rFonts w:eastAsia="Calibri"/>
          <w:sz w:val="24"/>
          <w:lang w:eastAsia="en-US"/>
        </w:rPr>
        <w:t xml:space="preserve">министерства экономического ра</w:t>
      </w:r>
      <w:r>
        <w:rPr>
          <w:rFonts w:eastAsia="Calibri"/>
          <w:sz w:val="24"/>
          <w:lang w:eastAsia="en-US"/>
        </w:rPr>
        <w:t xml:space="preserve">звития и промышленности Белгородской области (</w:t>
      </w:r>
      <w:r>
        <w:rPr>
          <w:rFonts w:eastAsia="Calibri"/>
          <w:sz w:val="24"/>
          <w:lang w:eastAsia="en-US"/>
        </w:rPr>
        <w:t xml:space="preserve">https://minecprom.belregion.ru/documents/ekspertiza-postanovleniya-pravitelstva-belg-10-04</w:t>
      </w:r>
      <w:r>
        <w:rPr>
          <w:rFonts w:eastAsia="Calibri"/>
          <w:sz w:val="24"/>
          <w:lang w:eastAsia="en-US"/>
        </w:rPr>
        <w:t xml:space="preserve">) </w:t>
        <w:br/>
        <w:t xml:space="preserve">и Инвестиционном портале Белгородской области (</w:t>
      </w:r>
      <w:r>
        <w:rPr>
          <w:rFonts w:eastAsia="Calibri"/>
          <w:sz w:val="24"/>
          <w:lang w:eastAsia="en-US"/>
        </w:rPr>
        <w:t xml:space="preserve">https://belgorodinvest.com/docs/otsenka-reguliruyushchego-vozdeystviya/#tab-201</w:t>
      </w:r>
      <w:r>
        <w:rPr>
          <w:rFonts w:eastAsia="Calibri"/>
          <w:sz w:val="24"/>
          <w:lang w:eastAsia="en-US"/>
        </w:rPr>
        <w:t xml:space="preserve">).  </w:t>
      </w:r>
      <w:r>
        <w:rPr>
          <w:rFonts w:eastAsia="Calibri"/>
          <w:b/>
          <w:bCs/>
          <w:sz w:val="24"/>
          <w:szCs w:val="24"/>
          <w:lang w:eastAsia="en-US"/>
        </w:rPr>
      </w:r>
      <w:r/>
    </w:p>
    <w:p>
      <w:pPr>
        <w:ind w:firstLine="708"/>
        <w:jc w:val="both"/>
        <w:widowControl w:val="off"/>
      </w:pPr>
      <w:r>
        <w:rPr>
          <w:b/>
          <w:sz w:val="24"/>
        </w:rPr>
        <w:t xml:space="preserve">4. На основе проведенной экспертизы нормативного правового акта </w:t>
      </w:r>
      <w:r>
        <w:rPr>
          <w:b/>
          <w:sz w:val="24"/>
        </w:rPr>
        <w:t xml:space="preserve">с учетом информации сделаны следующие выводы:</w:t>
      </w:r>
      <w:r/>
    </w:p>
    <w:p>
      <w:pPr>
        <w:contextualSpacing/>
        <w:ind w:firstLine="708"/>
        <w:jc w:val="both"/>
        <w:widowControl w:val="off"/>
        <w:tabs>
          <w:tab w:val="left" w:pos="0" w:leader="none"/>
        </w:tabs>
        <w:rPr>
          <w:rFonts w:eastAsia="TimesNewRoman"/>
          <w:sz w:val="24"/>
          <w:szCs w:val="24"/>
        </w:rPr>
      </w:pPr>
      <w:r>
        <w:rPr>
          <w:sz w:val="24"/>
        </w:rPr>
        <w:t xml:space="preserve">П</w:t>
      </w:r>
      <w:r>
        <w:rPr>
          <w:rFonts w:eastAsia="TimesNewRoman"/>
          <w:sz w:val="24"/>
        </w:rPr>
        <w:t xml:space="preserve">остановлением Правительства Белгородской области </w:t>
      </w:r>
      <w:r>
        <w:rPr>
          <w:rFonts w:eastAsia="TimesNewRoman"/>
          <w:sz w:val="24"/>
        </w:rPr>
        <w:t xml:space="preserve">от 15 августа 2016 года № 306-пп утвержден Порядок разработки и утверждения </w:t>
      </w:r>
      <w:r>
        <w:rPr>
          <w:rFonts w:eastAsia="TimesNewRoman"/>
          <w:sz w:val="24"/>
        </w:rPr>
        <w:t xml:space="preserve">нормативов образования отходов </w:t>
        <w:br/>
        <w:t xml:space="preserve">и лимитов на их размещение применительно</w:t>
      </w:r>
      <w:r>
        <w:t xml:space="preserve"> </w:t>
      </w:r>
      <w:r>
        <w:rPr>
          <w:rFonts w:eastAsia="TimesNewRoman"/>
          <w:sz w:val="24"/>
        </w:rPr>
        <w:t xml:space="preserve">к хозяйственной и (или) иной деятельности юридических лиц и индивидуальных</w:t>
      </w:r>
      <w:r>
        <w:t xml:space="preserve"> </w:t>
      </w:r>
      <w:r>
        <w:rPr>
          <w:rFonts w:eastAsia="TimesNewRoman"/>
          <w:sz w:val="24"/>
        </w:rPr>
        <w:t xml:space="preserve">предпринимателей</w:t>
      </w:r>
      <w:r>
        <w:t xml:space="preserve"> </w:t>
      </w:r>
      <w:r>
        <w:rPr>
          <w:rFonts w:eastAsia="TimesNewRoman"/>
          <w:sz w:val="24"/>
        </w:rPr>
        <w:t xml:space="preserve">(за </w:t>
      </w:r>
      <w:r>
        <w:rPr>
          <w:rFonts w:eastAsia="TimesNewRoman"/>
          <w:sz w:val="24"/>
        </w:rPr>
        <w:t xml:space="preserve">исключением</w:t>
      </w:r>
      <w:r>
        <w:t xml:space="preserve"> </w:t>
      </w:r>
      <w:r>
        <w:rPr>
          <w:rFonts w:eastAsia="TimesNewRoman"/>
          <w:sz w:val="24"/>
        </w:rPr>
        <w:t xml:space="preserve">субъектов</w:t>
      </w:r>
      <w:r>
        <w:t xml:space="preserve"> </w:t>
      </w:r>
      <w:r>
        <w:rPr>
          <w:rFonts w:eastAsia="TimesNewRoman"/>
          <w:sz w:val="24"/>
        </w:rPr>
        <w:t xml:space="preserve">малого</w:t>
      </w:r>
      <w:r>
        <w:rPr>
          <w:rFonts w:eastAsia="TimesNewRoman"/>
          <w:sz w:val="24"/>
        </w:rPr>
        <w:t xml:space="preserve"> </w:t>
        <w:br/>
      </w:r>
      <w:r>
        <w:rPr>
          <w:rFonts w:eastAsia="TimesNewRoman"/>
          <w:sz w:val="24"/>
        </w:rPr>
        <w:t xml:space="preserve">и </w:t>
      </w:r>
      <w:r>
        <w:rPr>
          <w:rFonts w:eastAsia="TimesNewRoman"/>
          <w:sz w:val="24"/>
        </w:rPr>
        <w:t xml:space="preserve">среднего </w:t>
      </w:r>
      <w:r>
        <w:rPr>
          <w:rFonts w:eastAsia="TimesNewRoman"/>
          <w:sz w:val="24"/>
        </w:rPr>
        <w:t xml:space="preserve">предпринимательства), в процессе которой образуются отходы на объектах,</w:t>
      </w:r>
      <w:r>
        <w:t xml:space="preserve"> </w:t>
      </w:r>
      <w:r>
        <w:rPr>
          <w:rFonts w:eastAsia="TimesNewRoman"/>
          <w:sz w:val="24"/>
        </w:rPr>
        <w:t xml:space="preserve">подлежащих региональному государственному экологическому надзору (далее – Порядок).</w:t>
      </w:r>
      <w:r>
        <w:rPr>
          <w:rFonts w:eastAsia="TimesNewRoman"/>
          <w:sz w:val="24"/>
          <w:szCs w:val="24"/>
        </w:rPr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bidi="zh-CN"/>
        </w:rPr>
        <w:t xml:space="preserve">Порядком определяются: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5"/>
        </w:numPr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перечень документов, необходимый для выдачи/переоформления документа </w:t>
        <w:br/>
        <w:t xml:space="preserve">о согласовании нормативов </w:t>
      </w:r>
      <w:r>
        <w:rPr>
          <w:rFonts w:ascii="Times New Roman" w:hAnsi="Times New Roman" w:eastAsia="Segoe UI" w:cs="Times New Roman"/>
          <w:b w:val="0"/>
          <w:i w:val="0"/>
          <w:caps w:val="0"/>
          <w:smallCaps w:val="0"/>
          <w:strike w:val="0"/>
          <w:color w:val="000000" w:themeColor="text1"/>
          <w:spacing w:val="-4"/>
          <w:sz w:val="24"/>
          <w:szCs w:val="24"/>
          <w:u w:val="none"/>
          <w:lang w:val="ru-RU"/>
        </w:rPr>
        <w:t xml:space="preserve">образования отходов и лимитов на их размещение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5"/>
        </w:numPr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условия согласования </w:t>
      </w:r>
      <w:r>
        <w:rPr>
          <w:rFonts w:ascii="Times New Roman" w:hAnsi="Times New Roman" w:eastAsia="Segoe UI" w:cs="Times New Roman"/>
          <w:b w:val="0"/>
          <w:i w:val="0"/>
          <w:caps w:val="0"/>
          <w:smallCaps w:val="0"/>
          <w:strike w:val="0"/>
          <w:color w:val="000000" w:themeColor="text1"/>
          <w:spacing w:val="-4"/>
          <w:sz w:val="24"/>
          <w:szCs w:val="24"/>
          <w:u w:val="none"/>
          <w:lang w:val="ru-RU"/>
        </w:rPr>
        <w:t xml:space="preserve">нормативов; 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5"/>
        </w:numPr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основания для отказа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;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5"/>
        </w:numPr>
        <w:contextualSpacing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порядок и сроки предоставления отчетности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Согласно пункта 7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Порядка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для утверждения нормативов образования отходов </w:t>
        <w:br/>
        <w:t xml:space="preserve">и лимитов на их размещение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индивидуальные предприниматели и юридические лица представляют в уполномоченный орган:</w:t>
      </w:r>
      <w:r>
        <w:rPr>
          <w:sz w:val="24"/>
          <w:szCs w:val="24"/>
        </w:rPr>
      </w:r>
      <w:r/>
    </w:p>
    <w:p>
      <w:pPr>
        <w:pStyle w:val="706"/>
        <w:numPr>
          <w:ilvl w:val="0"/>
          <w:numId w:val="6"/>
        </w:numPr>
        <w:ind w:right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заявление об утверждении нормативов образования отходов и лимитов </w:t>
        <w:br/>
        <w:t xml:space="preserve">на их размещение;</w:t>
      </w:r>
      <w:r>
        <w:rPr>
          <w:sz w:val="24"/>
          <w:szCs w:val="24"/>
          <w:highlight w:val="none"/>
        </w:rPr>
      </w:r>
      <w:r/>
    </w:p>
    <w:p>
      <w:pPr>
        <w:pStyle w:val="706"/>
        <w:numPr>
          <w:ilvl w:val="0"/>
          <w:numId w:val="6"/>
        </w:numPr>
        <w:ind w:right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проект нормативов образования отходов и лимитов на их размещение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 на бумажном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носителе и в электронном виде;</w:t>
      </w:r>
      <w:r>
        <w:rPr>
          <w:sz w:val="24"/>
          <w:szCs w:val="24"/>
          <w:highlight w:val="none"/>
        </w:rPr>
      </w:r>
      <w:r/>
    </w:p>
    <w:p>
      <w:pPr>
        <w:pStyle w:val="706"/>
        <w:numPr>
          <w:ilvl w:val="0"/>
          <w:numId w:val="6"/>
        </w:numPr>
        <w:ind w:right="0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опись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представленных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 документов.</w:t>
      </w:r>
      <w:r>
        <w:rPr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0" w:after="0" w:afterAutospacing="0" w:line="240" w:lineRule="auto"/>
        <w:rPr>
          <w:b w:val="0"/>
          <w:bCs w:val="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Согласно тарифам Единого Центра Строительства и Землеустройства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стоимость подготовки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проекта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 нормативов образования отходов и лимитов на их размещение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 (ПНООЛР)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от 40000 руб. до 65000 руб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. Срок подготовки до 2 месяцев.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0" w:after="0" w:afterAutospacing="0" w:line="240" w:lineRule="auto"/>
        <w:tabs>
          <w:tab w:val="left" w:pos="0" w:leader="none"/>
        </w:tabs>
        <w:rPr>
          <w:b w:val="0"/>
          <w:bCs w:val="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ab/>
        <w:t xml:space="preserve">Пунктом 11 Порядка предусмотрено, что за выдачу документа об утверждении </w:t>
        <w:br/>
        <w:t xml:space="preserve">нормативов образования отходов и лимитов на их размещение взимается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государственная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пошлина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1600 руб.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0" w:after="0" w:afterAutospacing="0" w:line="240" w:lineRule="auto"/>
        <w:tabs>
          <w:tab w:val="left" w:pos="0" w:leader="none"/>
        </w:tabs>
        <w:rPr>
          <w:b w:val="0"/>
          <w:bCs w:val="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ab/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По данным сайта «ГородРабот.ру» 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средняя зарплата в сфере «Производство» </w:t>
        <w:br/>
        <w:t xml:space="preserve">в Белгородской области в 2026 году ‒ 96 069 руб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pStyle w:val="670"/>
        <w:ind w:firstLine="708"/>
        <w:jc w:val="both"/>
        <w:spacing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ru-RU"/>
        </w:rPr>
        <w:t xml:space="preserve">Средняя стоимость часа работы: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ru-RU"/>
        </w:rPr>
        <w:t xml:space="preserve">545,84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ru-RU"/>
        </w:rPr>
        <w:t xml:space="preserve"> руб.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Трудозатраты на предоставление документов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– не менее 1,5 чел. часа.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pStyle w:val="670"/>
        <w:ind w:firstLine="708"/>
        <w:jc w:val="both"/>
        <w:spacing w:after="0" w:line="240" w:lineRule="auto"/>
        <w:rPr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ru-RU"/>
        </w:rPr>
        <w:t xml:space="preserve">Стоимость трудозатрат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ru-RU"/>
        </w:rPr>
        <w:t xml:space="preserve"> одного заявителя на подачу пакета документов: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818,76 руб. 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Общая стоимость затрат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юридических лиц и индивидуальных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предпринимателей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br/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на подготовку и предоставление пакета документов, необходимого для </w:t>
      </w:r>
      <w:r>
        <w:rPr>
          <w:rFonts w:ascii="Times New Roman" w:hAnsi="Times New Roman" w:eastAsia="Open Sans" w:cs="Times New Roman"/>
          <w:b w:val="0"/>
          <w:bCs w:val="0"/>
          <w:color w:val="151515"/>
          <w:spacing w:val="3"/>
          <w:sz w:val="24"/>
          <w:szCs w:val="24"/>
          <w:highlight w:val="none"/>
        </w:rPr>
        <w:t xml:space="preserve"> согласования нормативов образования отходов и лимитов на их размещение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составит от 42418,76 руб. </w:t>
        <w:br/>
        <w:t xml:space="preserve">до 67418,76 руб.</w:t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ind w:firstLine="708"/>
        <w:jc w:val="both"/>
        <w:shd w:val="clear" w:color="ffffff" w:fill="ffffff"/>
        <w:rPr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</w:rPr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ие Правительства Белгородской области от 15 августа 2016 года № 306-пп </w:t>
      </w:r>
      <w:r>
        <w:rPr>
          <w:color w:val="000000" w:themeColor="text1"/>
          <w:sz w:val="24"/>
        </w:rPr>
        <w:t xml:space="preserve">разработано в соответствии со статьями 6, 18 Федерального закона от 24 июня 1998 года </w:t>
        <w:br/>
        <w:t xml:space="preserve">№ 89-ФЗ «Об</w:t>
      </w:r>
      <w:r>
        <w:t xml:space="preserve"> </w:t>
      </w:r>
      <w:r>
        <w:rPr>
          <w:color w:val="000000" w:themeColor="text1"/>
          <w:sz w:val="24"/>
        </w:rPr>
        <w:t xml:space="preserve">отходах производства и потребления».</w:t>
      </w:r>
      <w:r>
        <w:rPr>
          <w:color w:val="000000" w:themeColor="text1"/>
          <w:sz w:val="24"/>
        </w:rPr>
      </w:r>
      <w:r/>
    </w:p>
    <w:p>
      <w:pPr>
        <w:ind w:firstLine="708"/>
        <w:jc w:val="both"/>
        <w:shd w:val="clear" w:color="ffffff" w:fill="ffffff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действующего в данной сфере законодательства выявлено,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что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Федеральному закону от 11 июня 2021 года № 170-ФЗ «О внесении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изменений </w:t>
        <w:br/>
        <w:t xml:space="preserve">в отдельные законодательные акты Российской Федерации в связи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принятием Федерального закона «О государственном контроле (надзоре)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муниципальном контроле в Российской Федерации» полномочия субъектов Российской по </w:t>
      </w:r>
      <w:r>
        <w:rPr>
          <w:rFonts w:ascii="Times New Roman" w:hAnsi="Times New Roman" w:eastAsia="PT Serif" w:cs="Times New Roman"/>
          <w:color w:val="000000" w:themeColor="text1"/>
          <w:sz w:val="24"/>
          <w:szCs w:val="24"/>
          <w:highlight w:val="white"/>
        </w:rPr>
        <w:t xml:space="preserve">осуществлению государственного надзора </w:t>
        <w:br/>
        <w:t xml:space="preserve">в области обращения с отходами на объектах хозяйственной и (или) иной деятельности, подлежащих региональному государственному экологическому надзору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предусмотренные статьей 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24 июня 1998 года № 89-ФЗ «Об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отходах производства </w:t>
        <w:br/>
        <w:t xml:space="preserve">и потребления»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исключены.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Также, </w:t>
      </w:r>
      <w:r>
        <w:rPr>
          <w:color w:val="000000" w:themeColor="text1"/>
          <w:sz w:val="24"/>
        </w:rPr>
        <w:t xml:space="preserve">Федеральным законом от 08 августа 2024 года № 296-ФЗ </w:t>
        <w:br/>
        <w:t xml:space="preserve">«О внесении</w:t>
      </w:r>
      <w:r>
        <w:t xml:space="preserve"> </w:t>
      </w:r>
      <w:r>
        <w:rPr>
          <w:color w:val="000000" w:themeColor="text1"/>
          <w:sz w:val="24"/>
        </w:rPr>
        <w:t xml:space="preserve">изменений в Федеральный закон «Об отходах производства и потребления»</w:t>
      </w:r>
      <w:r>
        <w:t xml:space="preserve"> </w:t>
        <w:br/>
      </w:r>
      <w:r>
        <w:rPr>
          <w:color w:val="000000" w:themeColor="text1"/>
          <w:sz w:val="24"/>
        </w:rPr>
        <w:t xml:space="preserve">и отдельные законодательные акты Российской Федерации» исключены полномочия</w:t>
      </w:r>
      <w:r>
        <w:t xml:space="preserve"> </w:t>
      </w:r>
      <w:r>
        <w:rPr>
          <w:color w:val="000000" w:themeColor="text1"/>
          <w:sz w:val="24"/>
        </w:rPr>
        <w:t xml:space="preserve">субъектов Российской Федерации по </w:t>
      </w:r>
      <w:r>
        <w:rPr>
          <w:color w:val="000000" w:themeColor="text1"/>
          <w:sz w:val="24"/>
        </w:rPr>
        <w:t xml:space="preserve">установлению нормативов образования отходов и лимитов </w:t>
        <w:br/>
        <w:t xml:space="preserve">на их размещение</w:t>
      </w:r>
      <w:r>
        <w:t xml:space="preserve"> </w:t>
      </w:r>
      <w:r>
        <w:rPr>
          <w:color w:val="000000" w:themeColor="text1"/>
          <w:sz w:val="24"/>
        </w:rPr>
        <w:t xml:space="preserve">применительно к хозяйственной и (или) иной деятельности юридических лиц</w:t>
      </w:r>
      <w:r>
        <w:t xml:space="preserve"> </w:t>
      </w:r>
      <w:r>
        <w:rPr>
          <w:color w:val="000000" w:themeColor="text1"/>
          <w:sz w:val="24"/>
        </w:rPr>
        <w:t xml:space="preserve">и индивидуальных предпринимателей (за исключением субъектов малого и среднего</w:t>
      </w:r>
      <w:r>
        <w:t xml:space="preserve"> </w:t>
      </w:r>
      <w:r>
        <w:rPr>
          <w:color w:val="000000" w:themeColor="text1"/>
          <w:sz w:val="24"/>
        </w:rPr>
        <w:t xml:space="preserve">предпринимательства), в процессе которой образуются отходы на объектах,</w:t>
      </w:r>
      <w:r>
        <w:t xml:space="preserve"> </w:t>
      </w:r>
      <w:r>
        <w:rPr>
          <w:color w:val="000000" w:themeColor="text1"/>
          <w:sz w:val="24"/>
        </w:rPr>
        <w:t xml:space="preserve">подлежащих региональному государственному экологическому надзору.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8"/>
        <w:jc w:val="both"/>
        <w:shd w:val="clear" w:color="ffffff" w:fill="ffffff"/>
        <w:rPr>
          <w:color w:val="000000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u w:val="none"/>
        </w:rPr>
      </w:r>
      <w:r>
        <w:rPr>
          <w:color w:val="000000" w:themeColor="text1"/>
          <w:sz w:val="24"/>
          <w:szCs w:val="24"/>
          <w:u w:val="none"/>
        </w:rPr>
        <w:t xml:space="preserve"> В соответствии с пунктом 7 статьи 18 Федерального закона от 24 июня 1998 года </w:t>
        <w:br/>
        <w:t xml:space="preserve">№ 89-ФЗ «Об</w:t>
      </w:r>
      <w:r>
        <w:rPr>
          <w:sz w:val="24"/>
          <w:szCs w:val="24"/>
          <w:u w:val="none"/>
        </w:rPr>
        <w:t xml:space="preserve"> </w:t>
      </w:r>
      <w:r>
        <w:rPr>
          <w:color w:val="000000" w:themeColor="text1"/>
          <w:sz w:val="24"/>
          <w:szCs w:val="24"/>
          <w:u w:val="none"/>
        </w:rPr>
        <w:t xml:space="preserve">отходах производства и потребления»</w:t>
      </w:r>
      <w:r>
        <w:rPr>
          <w:b w:val="0"/>
          <w:i w:val="0"/>
          <w:sz w:val="24"/>
          <w:szCs w:val="24"/>
          <w:u w:val="none"/>
        </w:rPr>
        <w:t xml:space="preserve"> (в ред. Федерального закона </w:t>
      </w:r>
      <w:hyperlink r:id="rId14" w:tooltip="https://normativ.kontur.ru/document?moduleid=1&amp;documentid=500998#l4" w:history="1">
        <w:r>
          <w:rPr>
            <w:b w:val="0"/>
            <w:i w:val="0"/>
            <w:sz w:val="24"/>
            <w:szCs w:val="24"/>
            <w:u w:val="none"/>
          </w:rPr>
          <w:t xml:space="preserve">от 08 августа 2024 года № 296-ФЗ</w:t>
        </w:r>
      </w:hyperlink>
      <w:r>
        <w:rPr>
          <w:b w:val="0"/>
          <w:i w:val="0"/>
          <w:sz w:val="24"/>
          <w:szCs w:val="24"/>
          <w:u w:val="none"/>
        </w:rPr>
        <w:t xml:space="preserve">)</w:t>
      </w:r>
      <w:r>
        <w:rPr>
          <w:color w:val="000000" w:themeColor="text1"/>
          <w:sz w:val="24"/>
          <w:szCs w:val="24"/>
          <w:u w:val="none"/>
        </w:rPr>
        <w:t xml:space="preserve"> п</w:t>
      </w:r>
      <w:r>
        <w:rPr>
          <w:b w:val="0"/>
          <w:i w:val="0"/>
          <w:sz w:val="24"/>
          <w:u w:val="none"/>
        </w:rPr>
        <w:t xml:space="preserve">орядок разработки и установле</w:t>
      </w:r>
      <w:r>
        <w:rPr>
          <w:b w:val="0"/>
          <w:i w:val="0"/>
          <w:sz w:val="24"/>
          <w:u w:val="none"/>
        </w:rPr>
        <w:t xml:space="preserve">ни</w:t>
      </w:r>
      <w:r>
        <w:rPr>
          <w:b w:val="0"/>
          <w:i w:val="0"/>
          <w:sz w:val="24"/>
        </w:rPr>
        <w:t xml:space="preserve">я в составе комплексного экологического разрешения нормативов образования отходов и лимитов на их размещение применительно </w:t>
        <w:br/>
        <w:t xml:space="preserve">к хозяйственной и (или) иной деятельности юридических лиц, индивидуальных предпринимателей </w:t>
      </w:r>
      <w:r>
        <w:rPr>
          <w:b w:val="0"/>
          <w:i w:val="0"/>
          <w:sz w:val="24"/>
        </w:rPr>
        <w:t xml:space="preserve">устанавливает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охраны окружающей среды.</w:t>
      </w:r>
      <w:r>
        <w:rPr>
          <w:color w:val="000000"/>
          <w:sz w:val="24"/>
          <w:szCs w:val="24"/>
          <w:u w:val="none"/>
        </w:rPr>
      </w:r>
      <w:r/>
    </w:p>
    <w:p>
      <w:pPr>
        <w:ind w:firstLine="720"/>
        <w:jc w:val="both"/>
      </w:pPr>
      <w:r>
        <w:rPr>
          <w:rFonts w:eastAsia="Calibri"/>
          <w:b w:val="0"/>
          <w:bCs w:val="0"/>
          <w:sz w:val="24"/>
          <w:lang w:eastAsia="en-US"/>
        </w:rPr>
        <w:t xml:space="preserve">В результате анализа материалов, предоставленных органом-разработчиком, </w:t>
      </w:r>
      <w:r>
        <w:rPr>
          <w:rFonts w:eastAsia="Calibri"/>
          <w:b w:val="0"/>
          <w:bCs w:val="0"/>
          <w:sz w:val="24"/>
          <w:lang w:eastAsia="en-US"/>
        </w:rPr>
        <w:br/>
        <w:t xml:space="preserve">а также предложений, полученных по итогам публичных </w:t>
      </w:r>
      <w:r>
        <w:rPr>
          <w:rFonts w:eastAsia="Calibri"/>
          <w:b w:val="0"/>
          <w:bCs w:val="0"/>
          <w:sz w:val="24"/>
          <w:lang w:eastAsia="en-US"/>
        </w:rPr>
        <w:t xml:space="preserve">обсуждений</w:t>
      </w:r>
      <w:r>
        <w:rPr>
          <w:rFonts w:ascii="Calibri" w:hAnsi="Calibri" w:eastAsia="Calibri"/>
          <w:b w:val="0"/>
          <w:bCs w:val="0"/>
          <w:sz w:val="24"/>
          <w:lang w:eastAsia="en-US"/>
        </w:rPr>
        <w:t xml:space="preserve"> </w:t>
      </w:r>
      <w:r>
        <w:rPr>
          <w:rFonts w:eastAsia="Calibri"/>
          <w:b w:val="0"/>
          <w:bCs w:val="0"/>
          <w:sz w:val="24"/>
          <w:lang w:eastAsia="en-US"/>
        </w:rPr>
        <w:t xml:space="preserve">министерство экономического развития и промышленности области пришло к выводу, что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ие Правительства Белгородской области от 15 августа 2016 года № 306-пп </w:t>
      </w:r>
      <w:r>
        <w:rPr>
          <w:rFonts w:ascii="Times New Roman" w:hAnsi="Times New Roman" w:eastAsia="TimesNew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Об утверждении Порядка разработки и утверждения нормативов образования отходов и лимитов на их размещение применительно к хозяйственной и (или) иной деятельности юри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дических лиц </w:t>
        <w:br/>
        <w:t xml:space="preserve">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</w:r>
      <w:r>
        <w:rPr>
          <w:rFonts w:ascii="Times New Roman" w:hAnsi="Times New Roman" w:eastAsia="TimesNewRoman" w:cs="Times New Roman"/>
          <w:sz w:val="24"/>
          <w:szCs w:val="24"/>
        </w:rPr>
        <w:t xml:space="preserve">»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eastAsia="Calibri"/>
          <w:sz w:val="24"/>
        </w:rPr>
        <w:t xml:space="preserve">утратило актуальность </w:t>
        <w:br/>
        <w:t xml:space="preserve">и не соответствует действующему федеральному законодательству</w:t>
      </w:r>
      <w:r>
        <w:rPr>
          <w:sz w:val="24"/>
        </w:rPr>
        <w:t xml:space="preserve">.</w:t>
      </w:r>
      <w:r>
        <w:rPr>
          <w:sz w:val="24"/>
        </w:rPr>
      </w:r>
      <w:r/>
    </w:p>
    <w:p>
      <w:pPr>
        <w:ind w:firstLine="720"/>
        <w:jc w:val="both"/>
        <w:rPr>
          <w:rFonts w:eastAsia="Arial"/>
          <w:color w:val="000000" w:themeColor="text1"/>
          <w:spacing w:val="1"/>
          <w:szCs w:val="24"/>
        </w:rPr>
      </w:pPr>
      <w:r>
        <w:rPr>
          <w:rFonts w:eastAsia="Calibri"/>
          <w:sz w:val="24"/>
          <w:lang w:eastAsia="en-US"/>
        </w:rPr>
        <w:t xml:space="preserve">Учитывая вышеизложенное, по итогам проведенной экспертизы, министерство экономическ</w:t>
      </w:r>
      <w:r>
        <w:rPr>
          <w:rFonts w:eastAsia="Calibri"/>
          <w:sz w:val="24"/>
          <w:lang w:eastAsia="en-US"/>
        </w:rPr>
        <w:t xml:space="preserve">ого развития и промышленности области считает целесообразным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ие Правительства Белгородской области от 15 августа 2016 года № 306-пп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 </w:t>
      </w:r>
      <w:r>
        <w:rPr>
          <w:rFonts w:eastAsia="Calibri"/>
          <w:sz w:val="24"/>
        </w:rPr>
        <w:t xml:space="preserve">признать утратившим силу.</w:t>
      </w:r>
      <w:r>
        <w:rPr>
          <w:rFonts w:eastAsia="Calibri"/>
          <w:sz w:val="24"/>
        </w:rPr>
      </w:r>
      <w:r/>
    </w:p>
    <w:p>
      <w:pPr>
        <w:ind w:firstLine="720"/>
        <w:jc w:val="both"/>
        <w:rPr>
          <w:rFonts w:eastAsia="Calibri"/>
          <w:sz w:val="24"/>
        </w:rPr>
      </w:pPr>
      <w:r>
        <w:rPr>
          <w:rFonts w:eastAsia="Calibri"/>
          <w:sz w:val="24"/>
        </w:rPr>
      </w:r>
      <w:r/>
    </w:p>
    <w:p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/>
    </w:p>
    <w:p>
      <w:pPr>
        <w:pStyle w:val="877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1418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02158951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71">
    <w:name w:val="Heading 1"/>
    <w:basedOn w:val="670"/>
    <w:next w:val="670"/>
    <w:link w:val="872"/>
    <w:qFormat/>
    <w:pPr>
      <w:ind w:left="1094"/>
      <w:keepNext/>
      <w:spacing w:line="302" w:lineRule="exact"/>
      <w:shd w:val="clear" w:color="auto" w:fill="ffffff"/>
      <w:widowControl w:val="off"/>
      <w:outlineLvl w:val="0"/>
    </w:pPr>
    <w:rPr>
      <w:b/>
      <w:bCs/>
      <w:color w:val="000000"/>
      <w:spacing w:val="-4"/>
      <w:szCs w:val="26"/>
    </w:rPr>
  </w:style>
  <w:style w:type="paragraph" w:styleId="672">
    <w:name w:val="Heading 2"/>
    <w:basedOn w:val="670"/>
    <w:next w:val="670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76">
    <w:name w:val="Heading 6"/>
    <w:basedOn w:val="670"/>
    <w:next w:val="670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80"/>
    <w:uiPriority w:val="10"/>
    <w:rPr>
      <w:sz w:val="48"/>
      <w:szCs w:val="48"/>
    </w:rPr>
  </w:style>
  <w:style w:type="character" w:styleId="692" w:customStyle="1">
    <w:name w:val="Subtitle Char"/>
    <w:basedOn w:val="680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70"/>
    <w:uiPriority w:val="34"/>
    <w:qFormat/>
    <w:pPr>
      <w:contextualSpacing/>
      <w:ind w:left="720"/>
    </w:pPr>
  </w:style>
  <w:style w:type="paragraph" w:styleId="707">
    <w:name w:val="Title"/>
    <w:basedOn w:val="670"/>
    <w:next w:val="67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basedOn w:val="680"/>
    <w:link w:val="707"/>
    <w:uiPriority w:val="10"/>
    <w:rPr>
      <w:sz w:val="48"/>
      <w:szCs w:val="48"/>
    </w:rPr>
  </w:style>
  <w:style w:type="paragraph" w:styleId="709">
    <w:name w:val="Subtitle"/>
    <w:basedOn w:val="670"/>
    <w:next w:val="670"/>
    <w:link w:val="710"/>
    <w:uiPriority w:val="11"/>
    <w:qFormat/>
    <w:pPr>
      <w:spacing w:before="200" w:after="200"/>
    </w:pPr>
    <w:rPr>
      <w:sz w:val="24"/>
    </w:rPr>
  </w:style>
  <w:style w:type="character" w:styleId="710" w:customStyle="1">
    <w:name w:val="Подзаголовок Знак"/>
    <w:basedOn w:val="680"/>
    <w:link w:val="709"/>
    <w:uiPriority w:val="11"/>
    <w:rPr>
      <w:sz w:val="24"/>
      <w:szCs w:val="24"/>
    </w:rPr>
  </w:style>
  <w:style w:type="paragraph" w:styleId="711">
    <w:name w:val="Quote"/>
    <w:basedOn w:val="670"/>
    <w:next w:val="670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70"/>
    <w:next w:val="670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80"/>
    <w:uiPriority w:val="99"/>
  </w:style>
  <w:style w:type="character" w:styleId="716" w:customStyle="1">
    <w:name w:val="Footer Char"/>
    <w:basedOn w:val="680"/>
    <w:uiPriority w:val="99"/>
  </w:style>
  <w:style w:type="paragraph" w:styleId="717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</w:style>
  <w:style w:type="table" w:styleId="719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4">
    <w:name w:val="footnote text"/>
    <w:basedOn w:val="670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80"/>
    <w:uiPriority w:val="99"/>
    <w:unhideWhenUsed/>
    <w:rPr>
      <w:vertAlign w:val="superscript"/>
    </w:rPr>
  </w:style>
  <w:style w:type="paragraph" w:styleId="847">
    <w:name w:val="endnote text"/>
    <w:basedOn w:val="670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80"/>
    <w:uiPriority w:val="99"/>
    <w:semiHidden/>
    <w:unhideWhenUsed/>
    <w:rPr>
      <w:vertAlign w:val="superscript"/>
    </w:rPr>
  </w:style>
  <w:style w:type="paragraph" w:styleId="850">
    <w:name w:val="toc 1"/>
    <w:basedOn w:val="670"/>
    <w:next w:val="670"/>
    <w:uiPriority w:val="39"/>
    <w:unhideWhenUsed/>
    <w:pPr>
      <w:spacing w:after="57"/>
    </w:pPr>
  </w:style>
  <w:style w:type="paragraph" w:styleId="851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2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53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54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55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56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57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58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70"/>
    <w:next w:val="670"/>
    <w:uiPriority w:val="99"/>
    <w:unhideWhenUsed/>
  </w:style>
  <w:style w:type="character" w:styleId="861">
    <w:name w:val="Hyperlink"/>
    <w:unhideWhenUsed/>
    <w:rPr>
      <w:color w:val="0000ff"/>
      <w:u w:val="single"/>
    </w:rPr>
  </w:style>
  <w:style w:type="paragraph" w:styleId="862">
    <w:name w:val="Balloon Text"/>
    <w:basedOn w:val="670"/>
    <w:link w:val="86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680"/>
    <w:link w:val="86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4">
    <w:name w:val="Body Text"/>
    <w:basedOn w:val="670"/>
    <w:link w:val="865"/>
    <w:pPr>
      <w:jc w:val="center"/>
    </w:pPr>
    <w:rPr>
      <w:b/>
      <w:bCs/>
      <w:caps/>
    </w:rPr>
  </w:style>
  <w:style w:type="character" w:styleId="865" w:customStyle="1">
    <w:name w:val="Основной текст Знак"/>
    <w:basedOn w:val="680"/>
    <w:link w:val="864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styleId="866">
    <w:name w:val="annotation reference"/>
    <w:basedOn w:val="680"/>
    <w:uiPriority w:val="99"/>
    <w:semiHidden/>
    <w:unhideWhenUsed/>
    <w:rPr>
      <w:sz w:val="16"/>
      <w:szCs w:val="16"/>
    </w:rPr>
  </w:style>
  <w:style w:type="paragraph" w:styleId="867">
    <w:name w:val="annotation text"/>
    <w:basedOn w:val="670"/>
    <w:link w:val="868"/>
    <w:uiPriority w:val="99"/>
    <w:semiHidden/>
    <w:unhideWhenUsed/>
    <w:rPr>
      <w:sz w:val="20"/>
      <w:szCs w:val="20"/>
    </w:rPr>
  </w:style>
  <w:style w:type="character" w:styleId="868" w:customStyle="1">
    <w:name w:val="Текст примечания Знак"/>
    <w:basedOn w:val="680"/>
    <w:link w:val="86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9">
    <w:name w:val="annotation subject"/>
    <w:basedOn w:val="867"/>
    <w:next w:val="867"/>
    <w:link w:val="870"/>
    <w:uiPriority w:val="99"/>
    <w:semiHidden/>
    <w:unhideWhenUsed/>
    <w:rPr>
      <w:b/>
      <w:bCs/>
    </w:rPr>
  </w:style>
  <w:style w:type="character" w:styleId="870" w:customStyle="1">
    <w:name w:val="Тема примечания Знак"/>
    <w:basedOn w:val="868"/>
    <w:link w:val="86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871">
    <w:name w:val="Table Grid"/>
    <w:basedOn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2" w:customStyle="1">
    <w:name w:val="Заголовок 1 Знак"/>
    <w:basedOn w:val="680"/>
    <w:link w:val="671"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873">
    <w:name w:val="Header"/>
    <w:basedOn w:val="670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680"/>
    <w:link w:val="87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5">
    <w:name w:val="Footer"/>
    <w:basedOn w:val="670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680"/>
    <w:link w:val="875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7" w:customStyle="1">
    <w:name w:val="Style5"/>
    <w:basedOn w:val="670"/>
    <w:pPr>
      <w:ind w:hanging="346"/>
      <w:spacing w:line="317" w:lineRule="exact"/>
      <w:widowControl w:val="off"/>
    </w:pPr>
    <w:rPr>
      <w:sz w:val="24"/>
    </w:rPr>
  </w:style>
  <w:style w:type="paragraph" w:styleId="878">
    <w:name w:val="No Spacing"/>
    <w:link w:val="879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9" w:customStyle="1">
    <w:name w:val="Без интервала Знак"/>
    <w:link w:val="878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pt-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 w:customStyle="1">
    <w:name w:val="Основной текст1"/>
    <w:pPr>
      <w:ind w:firstLine="400"/>
      <w:jc w:val="both"/>
      <w:spacing w:after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6"/>
    </w:rPr>
  </w:style>
  <w:style w:type="paragraph" w:styleId="882" w:customStyle="1">
    <w:name w:val="Обычный (веб)1"/>
    <w:basedOn w:val="678"/>
    <w:uiPriority w:val="99"/>
    <w:semiHidden/>
    <w:unhideWhenUsed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i w:val="0"/>
      <w:iCs w:val="0"/>
      <w:sz w:val="24"/>
      <w:szCs w:val="24"/>
    </w:rPr>
  </w:style>
  <w:style w:type="paragraph" w:styleId="883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s://normativ.kontur.ru/document?moduleid=1&amp;documentid=500998#l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4417BD-2B50-4D08-A960-12AC92E5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revision>28</cp:revision>
  <dcterms:created xsi:type="dcterms:W3CDTF">2025-05-18T10:46:00Z</dcterms:created>
  <dcterms:modified xsi:type="dcterms:W3CDTF">2026-06-15T11:32:57Z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