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numPr>
          <w:ilvl w:val="0"/>
          <w:numId w:val="0"/>
        </w:numPr>
        <w:ind w:left="0" w:firstLine="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sz w:val="28"/>
          <w:szCs w:val="28"/>
        </w:rPr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издержек</w:t>
      </w:r>
      <w:r>
        <w:rPr>
          <w:sz w:val="28"/>
          <w:szCs w:val="28"/>
        </w:rPr>
      </w:r>
      <w:r/>
    </w:p>
    <w:p>
      <w:pPr>
        <w:pStyle w:val="678"/>
        <w:numPr>
          <w:ilvl w:val="0"/>
          <w:numId w:val="0"/>
        </w:numPr>
        <w:ind w:left="0" w:firstLine="0"/>
        <w:spacing w:before="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/>
          <w:i w:val="0"/>
          <w:iCs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Название требования: </w:t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Предоставление заявления и документов, </w:t>
      </w:r>
      <w:bookmarkStart w:id="1" w:name="_Hlk84854832"/>
      <w:r/>
      <w:bookmarkEnd w:id="1"/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необходимых для оказания государственной услуги по лицензированию розничной продажи алкогольной продукции на территории Белгородской области.</w:t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b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iCs w:val="0"/>
          <w:sz w:val="26"/>
          <w:szCs w:val="26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/>
          <w:bCs/>
          <w:i w:val="0"/>
          <w:iCs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Условие возникновения требования:</w:t>
      </w:r>
      <w:r>
        <w:rPr>
          <w:i w:val="0"/>
          <w:iCs w:val="0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</w:rPr>
        <w:t xml:space="preserve">Рассмотрение министерством сельского хозяйства и продовольствия Белгородской области заявления  и документов о предоставлении государственной услуги.</w:t>
      </w:r>
      <w:r>
        <w:rPr>
          <w:i w:val="0"/>
          <w:iCs w:val="0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iCs w:val="0"/>
          <w:sz w:val="26"/>
          <w:szCs w:val="26"/>
        </w:rPr>
      </w:r>
      <w:r>
        <w:rPr>
          <w:i w:val="0"/>
          <w:iCs w:val="0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/>
          <w:i w:val="0"/>
          <w:iCs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Тип требования: </w:t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Подготовка и представление документов.</w:t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r>
      <w:r/>
    </w:p>
    <w:p>
      <w:pPr>
        <w:pStyle w:val="678"/>
        <w:jc w:val="both"/>
        <w:spacing w:before="0" w:after="0" w:line="240" w:lineRule="auto"/>
        <w:rPr>
          <w:i w:val="0"/>
          <w:iCs w:val="0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lang w:eastAsia="ru-RU"/>
        </w:rPr>
        <w:t xml:space="preserve">Масштаб: </w:t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По состоянию на 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ru-RU"/>
        </w:rPr>
        <w:t xml:space="preserve">2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 июля 202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ru-RU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 года на территории области </w:t>
      </w:r>
      <w:r>
        <w:rPr>
          <w:rFonts w:ascii="Times New Roman" w:hAnsi="Times New Roman" w:cs="Times New Roman"/>
          <w:i w:val="0"/>
          <w:iCs w:val="0"/>
          <w:sz w:val="26"/>
          <w:szCs w:val="26"/>
          <w:lang w:eastAsia="ru-RU"/>
        </w:rPr>
        <w:t xml:space="preserve">имеют</w:t>
      </w:r>
      <w:r>
        <w:rPr>
          <w:rFonts w:ascii="Times New Roman" w:hAnsi="Times New Roman" w:cs="Times New Roman"/>
          <w:bCs/>
          <w:i w:val="0"/>
          <w:iCs w:val="0"/>
          <w:sz w:val="26"/>
          <w:szCs w:val="26"/>
        </w:rPr>
        <w:t xml:space="preserve"> лицензию на </w:t>
      </w:r>
      <w:r>
        <w:rPr>
          <w:rFonts w:ascii="Times New Roman" w:hAnsi="Times New Roman" w:cs="Times New Roman"/>
          <w:i w:val="0"/>
          <w:iCs w:val="0"/>
          <w:sz w:val="26"/>
          <w:szCs w:val="26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ru-RU"/>
        </w:rPr>
        <w:t xml:space="preserve">298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  <w:lang w:val="ru-RU"/>
        </w:rPr>
        <w:t xml:space="preserve">й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В среднем в год (и</w:t>
      </w:r>
      <w:r>
        <w:rPr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сходя из фактических данных за предыдущие 3 года) с заявлением о выдаче лицензии в лицензирующий орган обращается 32 организаций, с заявлением о переоформлении лицензии – 158 организаций, с заявлениями о продлении срока действия лицензий – 156 организаций.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i/>
          <w:iCs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iCs w:val="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1 раз в год.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8"/>
        <w:jc w:val="both"/>
        <w:spacing w:before="0"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b/>
          <w:i w:val="0"/>
          <w:iCs w:val="0"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  <w:lang w:val="ru-RU"/>
        </w:rPr>
        <w:t xml:space="preserve">71 632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8"/>
        <w:spacing w:before="0"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Средняя стоимость часа работы: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6"/>
          <w:szCs w:val="26"/>
          <w:lang w:val="ru-RU"/>
        </w:rPr>
        <w:t xml:space="preserve">407 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  <w:t xml:space="preserve">руб.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val="en-US" w:eastAsia="ru-RU"/>
        </w:rPr>
        <w:t xml:space="preserve">71632 руб.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/22 рабочих дня/ 8 рабочих часов)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spacing w:before="0"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Коэффициент налоговых отчислений: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1,302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spacing w:before="0"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</w:rPr>
      </w:r>
      <w:r/>
    </w:p>
    <w:tbl>
      <w:tblPr>
        <w:tblStyle w:val="773"/>
        <w:tblW w:w="0" w:type="auto"/>
        <w:tblLayout w:type="fixed"/>
        <w:tblLook w:val="04A0" w:firstRow="1" w:lastRow="0" w:firstColumn="1" w:lastColumn="0" w:noHBand="0" w:noVBand="1"/>
      </w:tblPr>
      <w:tblGrid>
        <w:gridCol w:w="5351"/>
        <w:gridCol w:w="5352"/>
      </w:tblGrid>
      <w:tr>
        <w:trPr/>
        <w:tc>
          <w:tcPr>
            <w:tcW w:w="535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Текущее регулирование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b/>
                <w:bCs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Предлагаемое регулирование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5351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  <w:t xml:space="preserve">При подаче заявление через личный кабинет в системе ЕПГУ (Единый портал государственных и муниципальных услуг) заявитель заполняет заявление с приложением копий необходимых документов.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r>
            <w:r/>
          </w:p>
          <w:p>
            <w:pPr>
              <w:pStyle w:val="678"/>
              <w:ind w:left="0" w:right="0" w:firstLine="0"/>
              <w:jc w:val="both"/>
              <w:spacing w:before="0"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Подготовка и копирование документов (примерный перечень) для выдачи лицензии:</w:t>
            </w:r>
            <w:r>
              <w:rPr>
                <w:b/>
                <w:bCs/>
              </w:rPr>
            </w:r>
            <w:r/>
          </w:p>
          <w:p>
            <w:pPr>
              <w:pStyle w:val="678"/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заполнение заявления о предоставлении государственной услуги - 0,3 чел./часа;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Style w:val="736"/>
                <w:rFonts w:ascii="Times New Roman" w:hAnsi="Times New Roman" w:cs="Times New Roman"/>
                <w:sz w:val="26"/>
                <w:szCs w:val="26"/>
              </w:rPr>
              <w:t xml:space="preserve">- свидетельство о постановке на учет российской организации в налоговом органе по месту ее нахождения –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чел./часа</w:t>
            </w:r>
            <w:r>
              <w:rPr>
                <w:rStyle w:val="736"/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Style w:val="736"/>
              </w:rPr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Style w:val="736"/>
                <w:rFonts w:ascii="Times New Roman" w:hAnsi="Times New Roman" w:cs="Times New Roman"/>
                <w:sz w:val="26"/>
                <w:szCs w:val="26"/>
              </w:rPr>
              <w:t xml:space="preserve">- уведомление о постановке на учет российской организации в налоговом органе по месту нахождения обособленного подразделения –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Style w:val="736"/>
                <w:rFonts w:ascii="Times New Roman" w:hAnsi="Times New Roman" w:cs="Times New Roman"/>
                <w:sz w:val="26"/>
                <w:szCs w:val="26"/>
              </w:rPr>
              <w:t xml:space="preserve">а;</w:t>
            </w:r>
            <w:r>
              <w:rPr>
                <w:rStyle w:val="736"/>
              </w:rPr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документ, подтверждающий наличие у заявителя уставного капитала (уставного фонда) </w:t>
            </w:r>
            <w:r>
              <w:rPr>
                <w:rStyle w:val="736"/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а;</w:t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копия документа об уплате государственной </w:t>
            </w:r>
            <w:hyperlink r:id="rId12" w:tooltip="consultantplus://offline/ref=B42F02CB0A7C56274757A77AD630B224BA2AA0F51E9E64FC5D000A06F95D5A958FBB0F0A4BC9D341CDD34B2D3DECA582B54345C15946m7W0J" w:history="1">
              <w:r>
                <w:rPr>
                  <w:rFonts w:ascii="Times New Roman" w:hAnsi="Times New Roman" w:cs="Times New Roman"/>
                  <w:sz w:val="26"/>
                  <w:szCs w:val="26"/>
                  <w:lang w:eastAsia="ru-RU"/>
                </w:rPr>
                <w:t xml:space="preserve">пошлины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предоставление ли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цензии (копия платежного поручения об уплате государственной </w:t>
            </w:r>
            <w:hyperlink r:id="rId13" w:tooltip="consultantplus://offline/ref=B42F02CB0A7C56274757A77AD630B224BA2AA0F51E9E64FC5D000A06F95D5A958FBB0F0A4BC9D341CDD34B2D3DECA582B54345C15946m7W0J" w:history="1">
              <w:r>
                <w:rPr>
                  <w:rFonts w:ascii="Times New Roman" w:hAnsi="Times New Roman"/>
                  <w:sz w:val="26"/>
                  <w:szCs w:val="26"/>
                  <w:lang w:eastAsia="ru-RU"/>
                </w:rPr>
                <w:t xml:space="preserve">пошлины</w:t>
              </w:r>
            </w:hyperlink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предоставление лицензии) </w:t>
            </w:r>
            <w:r>
              <w:rPr>
                <w:rStyle w:val="736"/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а;</w:t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>
              <w:rPr>
                <w:rStyle w:val="736"/>
                <w:rFonts w:ascii="Times New Roman" w:hAnsi="Times New Roman"/>
                <w:sz w:val="26"/>
                <w:szCs w:val="26"/>
              </w:rPr>
              <w:t xml:space="preserve">– 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0,2 чел./часа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;</w:t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Style w:val="695"/>
                <w:rFonts w:ascii="Times New Roman" w:hAnsi="Times New Roman"/>
                <w:b w:val="0"/>
                <w:i w:val="0"/>
                <w:caps w:val="0"/>
                <w:smallCaps w:val="0"/>
                <w:spacing w:val="0"/>
                <w:sz w:val="26"/>
                <w:szCs w:val="26"/>
                <w:shd w:val="clear" w:color="auto" w:fill="auto"/>
              </w:rPr>
              <w:t xml:space="preserve">- копия уведомления о начале предоставления услуг общественного питания -                  0,2 чел./часа</w:t>
            </w:r>
            <w:r>
              <w:rPr>
                <w:rStyle w:val="695"/>
                <w:b w:val="0"/>
                <w:i w:val="0"/>
                <w:caps w:val="0"/>
                <w:smallCaps w:val="0"/>
                <w:spacing w:val="0"/>
                <w:shd w:val="clear" w:color="auto" w:fill="auto"/>
              </w:rPr>
              <w:t xml:space="preserve">.</w:t>
            </w:r>
            <w:r/>
          </w:p>
          <w:p>
            <w:pPr>
              <w:pStyle w:val="764"/>
              <w:contextualSpacing/>
              <w:ind w:left="0" w:right="0" w:firstLine="0"/>
              <w:jc w:val="both"/>
              <w:spacing w:before="0"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Подготовка и копирование документов (примерный перечень) для переоформления лицензии:</w:t>
            </w:r>
            <w:r>
              <w:rPr>
                <w:b/>
                <w:bCs/>
              </w:rPr>
            </w:r>
            <w:r/>
          </w:p>
          <w:p>
            <w:pPr>
              <w:pStyle w:val="764"/>
              <w:contextualSpacing/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заполнение заявления о предоставлении государственной услуги - 0,3 чел./часа;</w:t>
            </w:r>
            <w:r>
              <w:rPr>
                <w:rStyle w:val="736"/>
              </w:rPr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Style w:val="736"/>
                <w:rFonts w:ascii="Times New Roman" w:hAnsi="Times New Roman"/>
                <w:sz w:val="26"/>
                <w:szCs w:val="26"/>
              </w:rPr>
              <w:t xml:space="preserve">- уведомление о постановке на учет российской организации в налоговом органе по месту нахождения обособленного подразделения –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Style w:val="736"/>
                <w:rFonts w:ascii="Times New Roman" w:hAnsi="Times New Roman"/>
                <w:sz w:val="26"/>
                <w:szCs w:val="26"/>
              </w:rPr>
              <w:t xml:space="preserve">а;</w:t>
            </w:r>
            <w:r>
              <w:rPr>
                <w:rStyle w:val="736"/>
              </w:rPr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копия документа об уплате государственной </w:t>
            </w:r>
            <w:hyperlink r:id="rId14" w:tooltip="consultantplus://offline/ref=B42F02CB0A7C56274757A77AD630B224BA2AA0F51E9E64FC5D000A06F95D5A958FBB0F0A4BC9D341CDD34B2D3DECA582B54345C15946m7W0J" w:history="1">
              <w:r>
                <w:rPr>
                  <w:rFonts w:ascii="Times New Roman" w:hAnsi="Times New Roman"/>
                  <w:sz w:val="26"/>
                  <w:szCs w:val="26"/>
                  <w:lang w:eastAsia="ru-RU"/>
                </w:rPr>
                <w:t xml:space="preserve">пошлины</w:t>
              </w:r>
            </w:hyperlink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предоставление лицензии (копия платежного поручения об уплате государственной </w:t>
            </w:r>
            <w:hyperlink r:id="rId15" w:tooltip="consultantplus://offline/ref=B42F02CB0A7C56274757A77AD630B224BA2AA0F51E9E64FC5D000A06F95D5A958FBB0F0A4BC9D341CDD34B2D3DECA582B54345C15946m7W0J" w:history="1">
              <w:r>
                <w:rPr>
                  <w:rFonts w:ascii="Times New Roman" w:hAnsi="Times New Roman"/>
                  <w:sz w:val="26"/>
                  <w:szCs w:val="26"/>
                  <w:lang w:eastAsia="ru-RU"/>
                </w:rPr>
                <w:t xml:space="preserve">пошлины</w:t>
              </w:r>
            </w:hyperlink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предоставление лицензии) </w:t>
            </w:r>
            <w:r>
              <w:rPr>
                <w:rStyle w:val="736"/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а;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- 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>
              <w:rPr>
                <w:rStyle w:val="736"/>
                <w:rFonts w:ascii="Times New Roman" w:hAnsi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0,2 чел./часа</w:t>
            </w:r>
            <w:r>
              <w:rPr>
                <w:rFonts w:ascii="Times New Roman" w:hAnsi="Times New Roman" w:eastAsia="Times New Roman"/>
                <w:color w:val="000000"/>
                <w:sz w:val="26"/>
                <w:szCs w:val="26"/>
                <w:lang w:eastAsia="ru-RU"/>
              </w:rPr>
              <w:t xml:space="preserve">;</w:t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</w:pPr>
            <w:r>
              <w:rPr>
                <w:rStyle w:val="695"/>
                <w:rFonts w:ascii="Times New Roman" w:hAnsi="Times New Roman"/>
                <w:b w:val="0"/>
                <w:i w:val="0"/>
                <w:caps w:val="0"/>
                <w:smallCaps w:val="0"/>
                <w:spacing w:val="0"/>
                <w:sz w:val="26"/>
                <w:szCs w:val="26"/>
                <w:shd w:val="clear" w:color="auto" w:fill="auto"/>
              </w:rPr>
              <w:t xml:space="preserve">- копия уведомления о начале предоставления услуг общественного питания - 0,2 чел./час</w:t>
            </w:r>
            <w:r>
              <w:t xml:space="preserve">а.</w:t>
            </w:r>
            <w:r/>
          </w:p>
          <w:p>
            <w:pPr>
              <w:pStyle w:val="678"/>
              <w:numPr>
                <w:ilvl w:val="1"/>
                <w:numId w:val="3"/>
              </w:numPr>
              <w:ind w:left="0" w:right="0" w:firstLine="0"/>
              <w:jc w:val="both"/>
              <w:spacing w:before="0"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Подготовка и копирование документов (примерный перечень) для продления срока действия лицензии:</w:t>
            </w:r>
            <w:r>
              <w:rPr>
                <w:b/>
                <w:bCs/>
              </w:rPr>
            </w:r>
            <w:r/>
          </w:p>
          <w:p>
            <w:pPr>
              <w:pStyle w:val="764"/>
              <w:contextualSpacing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заполнение заявления о предоставлении государственной услуги - 0,3 чел./часов.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pStyle w:val="764"/>
              <w:contextualSpacing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  <w:t xml:space="preserve">При подаче заявление через личный кабинет в системе ЕПГУ заявитель заполняет заявление с указанием информации, предусмотренной формой заявления. Предоставление копий документов не требуется.</w:t>
            </w: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r>
            <w:r/>
          </w:p>
          <w:p>
            <w:pPr>
              <w:pStyle w:val="678"/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Подача заявления в электронном виде: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- на выдачу лицензии - 0,3 чел./часа;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pStyle w:val="678"/>
              <w:ind w:left="0" w:right="-108" w:firstLine="0"/>
              <w:jc w:val="left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- на переоформления лицензии – 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-108" w:firstLine="0"/>
              <w:jc w:val="left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  0,3 чел./часа;</w:t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- на продление лицензии – 0,3 чел./часа.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jc w:val="both"/>
              <w:spacing w:before="0" w:after="0" w:line="240" w:lineRule="auto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r>
            <w:r/>
          </w:p>
        </w:tc>
      </w:tr>
      <w:tr>
        <w:trPr>
          <w:trHeight w:val="1914"/>
        </w:trPr>
        <w:tc>
          <w:tcPr>
            <w:tcW w:w="5351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Всего трудозатрат на подготовку документов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- на выдачу лицензии - 1,5 чел./часа;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pStyle w:val="678"/>
              <w:ind w:left="0" w:right="0" w:firstLine="0"/>
              <w:jc w:val="left"/>
              <w:spacing w:before="0" w:after="0" w:line="240" w:lineRule="auto"/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- на переоформление лицензии– 1,1чел./часа;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- на продление лицензии – 0,3 чел./часа.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Итого трудозатрат: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2,9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чел./часа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Всего трудозатрат на подготовку документов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- на выдачу лицензии - 0,3 чел./часа;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pStyle w:val="678"/>
              <w:ind w:left="0" w:right="0" w:firstLine="0"/>
              <w:jc w:val="left"/>
              <w:spacing w:before="0" w:after="0" w:line="240" w:lineRule="auto"/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- на переоформление лицензии- 0,3чел./часа;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- на продление лицензии – 0,3 чел./часа.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Итого трудозатрат: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0,9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чел./часа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highlight w:val="none"/>
              </w:rPr>
            </w:r>
            <w:r/>
          </w:p>
        </w:tc>
      </w:tr>
      <w:tr>
        <w:trPr>
          <w:trHeight w:val="0"/>
        </w:trPr>
        <w:tc>
          <w:tcPr>
            <w:tcW w:w="5351" w:type="dxa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Общая 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трудозатрат: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- на выдачу лицензии - 25,43 тыс. руб.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(1,5 чел./часа*407 руб.*32*1,302);</w:t>
            </w:r>
            <w:r/>
          </w:p>
          <w:p>
            <w:pPr>
              <w:pStyle w:val="678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- на переоформление лицензии – 92,09 тыс.руб.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(1,1 чел./часа*407*158*1,302);</w:t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- на продление лицензии – 24,79 тыс. руб.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(0,3 чел./часа*407*156*1,302).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r>
            <w:r/>
          </w:p>
        </w:tc>
        <w:tc>
          <w:tcPr>
            <w:tcW w:w="5352" w:type="dxa"/>
            <w:textDirection w:val="lrTb"/>
            <w:noWrap w:val="false"/>
          </w:tcPr>
          <w:p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6"/>
                <w:szCs w:val="26"/>
                <w:highlight w:val="none"/>
              </w:rPr>
              <w:t xml:space="preserve">Общая 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трудозатрат: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6"/>
                <w:szCs w:val="26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- на выдачу лицензии - 5,08 тыс. руб.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spacing w:before="0" w:after="0" w:line="240" w:lineRule="auto"/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(0,3 чел./часа*407 руб.*32*1,302);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pStyle w:val="678"/>
              <w:ind w:left="0" w:right="0" w:firstLine="0"/>
              <w:jc w:val="left"/>
              <w:spacing w:before="0" w:after="0" w:line="240" w:lineRule="auto"/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- на переоформление лицензии – </w:t>
              <w:br/>
              <w:t xml:space="preserve">25,11 тыс.руб.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</w:r>
            <w:r/>
          </w:p>
          <w:p>
            <w:pPr>
              <w:ind w:left="0" w:right="0" w:firstLine="0"/>
              <w:jc w:val="left"/>
              <w:spacing w:before="0" w:after="0" w:line="240" w:lineRule="auto"/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(0,3 чел./часа*407*158*1,302);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shd w:val="clear" w:color="auto" w:fill="ffffff"/>
              </w:rPr>
              <w:t xml:space="preserve">- на продление лицензии – 24,79 тыс. руб.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shd w:val="clear" w:color="auto" w:fill="ffffff"/>
              </w:rPr>
              <w:t xml:space="preserve">(0,3 чел./часа*407*156*1,302).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r>
            <w:r/>
          </w:p>
          <w:p>
            <w:pPr>
              <w:spacing w:before="0" w:after="0" w:line="240" w:lineRule="auto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</w:rPr>
            </w:r>
            <w:r/>
          </w:p>
        </w:tc>
      </w:tr>
    </w:tbl>
    <w:p>
      <w:pPr>
        <w:pStyle w:val="678"/>
        <w:jc w:val="both"/>
        <w:spacing w:before="0" w:after="0" w:line="240" w:lineRule="auto"/>
        <w:rPr>
          <w:rFonts w:ascii="Times New Roman" w:hAnsi="Times New Roman"/>
          <w:bCs w:val="0"/>
          <w:i w:val="0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</w:r>
      <w:r>
        <w:rPr>
          <w:i w:val="0"/>
          <w:iCs w:val="0"/>
        </w:rPr>
      </w:r>
      <w:r/>
    </w:p>
    <w:p>
      <w:pPr>
        <w:pStyle w:val="678"/>
        <w:ind w:firstLine="708"/>
        <w:jc w:val="both"/>
        <w:spacing w:before="0" w:after="0" w:line="240" w:lineRule="auto"/>
        <w:rPr>
          <w:rFonts w:ascii="Times New Roman" w:hAnsi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/>
          <w:i w:val="0"/>
          <w:iCs w:val="0"/>
          <w:sz w:val="26"/>
          <w:szCs w:val="26"/>
        </w:rPr>
        <w:t xml:space="preserve">Получение части документов и сведений самостоятельно уполномоченным органом по средствам межведомственного взаимодействия, а также из открытых источников по заявлениям в электронном виде,</w:t>
      </w:r>
      <w:bookmarkStart w:id="2" w:name="_GoBack_Копия_1"/>
      <w:r>
        <w:rPr>
          <w:i w:val="0"/>
          <w:iCs w:val="0"/>
        </w:rPr>
      </w:r>
      <w:bookmarkEnd w:id="2"/>
      <w:r>
        <w:rPr>
          <w:rFonts w:ascii="Times New Roman" w:hAnsi="Times New Roman"/>
          <w:i w:val="0"/>
          <w:iCs w:val="0"/>
          <w:sz w:val="26"/>
          <w:szCs w:val="26"/>
        </w:rPr>
        <w:t xml:space="preserve"> поступившим через единый портал государственных услуг, позволит сократить трудозатраты организаций на получение государственной услуги по 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лицензированию </w:t>
      </w:r>
      <w:r>
        <w:rPr>
          <w:rFonts w:ascii="Times New Roman" w:hAnsi="Times New Roman"/>
          <w:i w:val="0"/>
          <w:iCs w:val="0"/>
          <w:sz w:val="26"/>
          <w:szCs w:val="26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/>
          <w:i w:val="0"/>
          <w:iCs w:val="0"/>
          <w:sz w:val="26"/>
          <w:szCs w:val="26"/>
        </w:rPr>
        <w:t xml:space="preserve">:</w:t>
      </w:r>
      <w:r>
        <w:rPr>
          <w:rFonts w:ascii="Times New Roman" w:hAnsi="Times New Roman"/>
          <w:bCs w:val="0"/>
          <w:i w:val="0"/>
          <w:sz w:val="26"/>
          <w:szCs w:val="26"/>
        </w:rPr>
      </w:r>
      <w:r/>
    </w:p>
    <w:p>
      <w:pPr>
        <w:jc w:val="both"/>
        <w:spacing w:before="0" w:after="0" w:line="240" w:lineRule="auto"/>
        <w:rPr>
          <w:rFonts w:ascii="Times New Roman" w:hAnsi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- на выдачу лицензии – на 1,2 чел./часа (20,35 тыс. руб.);</w:t>
      </w: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  <w:rPr>
          <w:rFonts w:ascii="Times New Roman" w:hAnsi="Times New Roman"/>
          <w:bCs w:val="0"/>
          <w:i w:val="0"/>
          <w:sz w:val="26"/>
          <w:szCs w:val="26"/>
          <w:highlight w:val="none"/>
        </w:rPr>
      </w:pP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</w:r>
      <w:r>
        <w:rPr>
          <w:rFonts w:ascii="Times New Roman" w:hAnsi="Times New Roman"/>
          <w:iCs/>
          <w:sz w:val="26"/>
          <w:szCs w:val="26"/>
          <w:shd w:val="clear" w:color="auto" w:fill="ffffff"/>
        </w:rPr>
        <w:t xml:space="preserve">- на переоформление лицензии- на 0,8чел./часа</w:t>
      </w: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  <w:t xml:space="preserve"> (66,98 тыс. руб.)</w:t>
      </w: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  <w:rPr>
          <w:rFonts w:ascii="Times New Roman" w:hAnsi="Times New Roman"/>
          <w:b/>
          <w:bCs/>
          <w:i w:val="0"/>
          <w:sz w:val="26"/>
          <w:szCs w:val="26"/>
          <w:highlight w:val="none"/>
        </w:rPr>
      </w:pPr>
      <w:r>
        <w:rPr>
          <w:rFonts w:ascii="Times New Roman" w:hAnsi="Times New Roman"/>
          <w:b/>
          <w:bCs/>
          <w:i w:val="0"/>
          <w:iCs w:val="0"/>
          <w:sz w:val="26"/>
          <w:szCs w:val="26"/>
          <w:highlight w:val="none"/>
        </w:rPr>
        <w:t xml:space="preserve">Общая стоимость сокращенных затрат составит 87,33 тыс. руб.</w:t>
      </w:r>
      <w:r>
        <w:rPr>
          <w:rFonts w:ascii="Times New Roman" w:hAnsi="Times New Roman"/>
          <w:b/>
          <w:bCs/>
          <w:i w:val="0"/>
          <w:iCs w:val="0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  <w:rPr>
          <w:rFonts w:ascii="Times New Roman" w:hAnsi="Times New Roman"/>
          <w:bCs w:val="0"/>
          <w:i w:val="0"/>
          <w:sz w:val="26"/>
          <w:szCs w:val="26"/>
        </w:rPr>
      </w:pPr>
      <w:r>
        <w:rPr>
          <w:rFonts w:ascii="Times New Roman" w:hAnsi="Times New Roman"/>
          <w:bCs w:val="0"/>
          <w:i w:val="0"/>
          <w:sz w:val="26"/>
          <w:szCs w:val="26"/>
        </w:rPr>
      </w:r>
      <w:r>
        <w:rPr>
          <w:rFonts w:ascii="Times New Roman" w:hAnsi="Times New Roman"/>
          <w:bCs w:val="0"/>
          <w:i w:val="0"/>
          <w:sz w:val="26"/>
          <w:szCs w:val="26"/>
        </w:rPr>
      </w:r>
      <w:r/>
    </w:p>
    <w:p>
      <w:pPr>
        <w:jc w:val="both"/>
        <w:spacing w:before="0" w:after="0" w:line="240" w:lineRule="auto"/>
        <w:rPr>
          <w:rFonts w:ascii="Times New Roman" w:hAnsi="Times New Roman"/>
          <w:bCs w:val="0"/>
          <w:i w:val="0"/>
          <w:sz w:val="26"/>
          <w:szCs w:val="26"/>
        </w:rPr>
      </w:pPr>
      <w:r>
        <w:rPr>
          <w:rFonts w:ascii="Times New Roman" w:hAnsi="Times New Roman"/>
          <w:bCs w:val="0"/>
          <w:i w:val="0"/>
          <w:sz w:val="26"/>
          <w:szCs w:val="26"/>
        </w:rPr>
      </w:r>
      <w:r>
        <w:rPr>
          <w:rFonts w:ascii="Times New Roman" w:hAnsi="Times New Roman"/>
          <w:bCs w:val="0"/>
          <w:i w:val="0"/>
          <w:sz w:val="26"/>
          <w:szCs w:val="26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5" w:right="567" w:bottom="679" w:left="851" w:header="142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CJK SC">
    <w:panose1 w:val="020B0502040504020204"/>
  </w:font>
  <w:font w:name="FreeSans">
    <w:panose1 w:val="020B0606020202030204"/>
  </w:font>
  <w:font w:name="TimesNewRomanPSMT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751"/>
      <w:jc w:val="center"/>
      <w:spacing w:before="0" w:after="160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spacing w:before="0" w:after="1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spacing w:before="0" w:after="1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uiPriority w:val="0"/>
    <w:qFormat/>
    <w:pPr>
      <w:jc w:val="left"/>
      <w:spacing w:before="0" w:after="160" w:line="259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679">
    <w:name w:val="Heading 1"/>
    <w:basedOn w:val="678"/>
    <w:next w:val="678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next w:val="6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  <w:qFormat/>
  </w:style>
  <w:style w:type="character" w:styleId="689">
    <w:name w:val="Символ сноски (user)"/>
    <w:uiPriority w:val="99"/>
    <w:unhideWhenUsed/>
    <w:qFormat/>
    <w:rPr>
      <w:vertAlign w:val="superscript"/>
    </w:rPr>
  </w:style>
  <w:style w:type="character" w:styleId="690">
    <w:name w:val="Символ сноски"/>
    <w:qFormat/>
    <w:rPr>
      <w:vertAlign w:val="superscript"/>
    </w:rPr>
  </w:style>
  <w:style w:type="character" w:styleId="691">
    <w:name w:val="footnote reference"/>
    <w:rPr>
      <w:vertAlign w:val="superscript"/>
    </w:rPr>
  </w:style>
  <w:style w:type="character" w:styleId="692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693">
    <w:name w:val="Символ концевой сноски"/>
    <w:qFormat/>
    <w:rPr>
      <w:vertAlign w:val="superscript"/>
    </w:rPr>
  </w:style>
  <w:style w:type="character" w:styleId="694">
    <w:name w:val="endnote reference"/>
    <w:rPr>
      <w:vertAlign w:val="superscript"/>
    </w:rPr>
  </w:style>
  <w:style w:type="character" w:styleId="695">
    <w:name w:val="Emphasis"/>
    <w:uiPriority w:val="20"/>
    <w:qFormat/>
    <w:rPr>
      <w:i/>
      <w:iCs/>
    </w:rPr>
  </w:style>
  <w:style w:type="character" w:styleId="696">
    <w:name w:val="Hyperlink"/>
    <w:uiPriority w:val="99"/>
    <w:semiHidden/>
    <w:unhideWhenUsed/>
    <w:qFormat/>
    <w:rPr>
      <w:color w:val="0000ff"/>
      <w:u w:val="single"/>
    </w:rPr>
  </w:style>
  <w:style w:type="character" w:styleId="697">
    <w:name w:val="Strong"/>
    <w:uiPriority w:val="0"/>
    <w:qFormat/>
    <w:rPr>
      <w:b/>
      <w:bCs/>
    </w:rPr>
  </w:style>
  <w:style w:type="character" w:styleId="69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9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Title Char"/>
    <w:uiPriority w:val="10"/>
    <w:qFormat/>
    <w:rPr>
      <w:sz w:val="48"/>
      <w:szCs w:val="48"/>
    </w:rPr>
  </w:style>
  <w:style w:type="character" w:styleId="708" w:customStyle="1">
    <w:name w:val="Subtitle Char"/>
    <w:uiPriority w:val="11"/>
    <w:qFormat/>
    <w:rPr>
      <w:sz w:val="24"/>
      <w:szCs w:val="24"/>
    </w:rPr>
  </w:style>
  <w:style w:type="character" w:styleId="709" w:customStyle="1">
    <w:name w:val="Quote Char"/>
    <w:uiPriority w:val="29"/>
    <w:qFormat/>
    <w:rPr>
      <w:i/>
    </w:rPr>
  </w:style>
  <w:style w:type="character" w:styleId="710" w:customStyle="1">
    <w:name w:val="Intense Quote Char"/>
    <w:uiPriority w:val="30"/>
    <w:qFormat/>
    <w:rPr>
      <w:i/>
    </w:rPr>
  </w:style>
  <w:style w:type="character" w:styleId="711" w:customStyle="1">
    <w:name w:val="Footnote Text Char"/>
    <w:uiPriority w:val="99"/>
    <w:qFormat/>
    <w:rPr>
      <w:sz w:val="18"/>
    </w:rPr>
  </w:style>
  <w:style w:type="character" w:styleId="712" w:customStyle="1">
    <w:name w:val="Endnote Text Char"/>
    <w:uiPriority w:val="99"/>
    <w:qFormat/>
    <w:rPr>
      <w:sz w:val="20"/>
    </w:rPr>
  </w:style>
  <w:style w:type="character" w:styleId="713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715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Заголовок Знак"/>
    <w:uiPriority w:val="10"/>
    <w:qFormat/>
    <w:rPr>
      <w:sz w:val="48"/>
      <w:szCs w:val="48"/>
    </w:rPr>
  </w:style>
  <w:style w:type="character" w:styleId="723" w:customStyle="1">
    <w:name w:val="Подзаголовок Знак"/>
    <w:uiPriority w:val="11"/>
    <w:qFormat/>
    <w:rPr>
      <w:sz w:val="24"/>
      <w:szCs w:val="24"/>
    </w:rPr>
  </w:style>
  <w:style w:type="character" w:styleId="724" w:customStyle="1">
    <w:name w:val="Цитата 2 Знак"/>
    <w:link w:val="766"/>
    <w:uiPriority w:val="29"/>
    <w:qFormat/>
    <w:rPr>
      <w:i/>
    </w:rPr>
  </w:style>
  <w:style w:type="character" w:styleId="725" w:customStyle="1">
    <w:name w:val="Выделенная цитата Знак"/>
    <w:link w:val="767"/>
    <w:uiPriority w:val="30"/>
    <w:qFormat/>
    <w:rPr>
      <w:i/>
    </w:rPr>
  </w:style>
  <w:style w:type="character" w:styleId="726" w:customStyle="1">
    <w:name w:val="Header Char"/>
    <w:uiPriority w:val="99"/>
    <w:qFormat/>
  </w:style>
  <w:style w:type="character" w:styleId="727" w:customStyle="1">
    <w:name w:val="Footer Char"/>
    <w:uiPriority w:val="99"/>
    <w:qFormat/>
  </w:style>
  <w:style w:type="character" w:styleId="728" w:customStyle="1">
    <w:name w:val="Caption Char"/>
    <w:uiPriority w:val="99"/>
    <w:qFormat/>
  </w:style>
  <w:style w:type="character" w:styleId="729" w:customStyle="1">
    <w:name w:val="Текст сноски Знак"/>
    <w:uiPriority w:val="99"/>
    <w:qFormat/>
    <w:rPr>
      <w:sz w:val="18"/>
    </w:rPr>
  </w:style>
  <w:style w:type="character" w:styleId="730" w:customStyle="1">
    <w:name w:val="Текст концевой сноски Знак"/>
    <w:uiPriority w:val="99"/>
    <w:qFormat/>
    <w:rPr>
      <w:sz w:val="20"/>
    </w:rPr>
  </w:style>
  <w:style w:type="character" w:styleId="731" w:customStyle="1">
    <w:name w:val="Текст выноски Знак"/>
    <w:link w:val="745"/>
    <w:uiPriority w:val="99"/>
    <w:semiHidden/>
    <w:qFormat/>
    <w:rPr>
      <w:rFonts w:ascii="Segoe UI" w:hAnsi="Segoe UI" w:cs="Segoe UI"/>
      <w:sz w:val="18"/>
      <w:szCs w:val="18"/>
    </w:rPr>
  </w:style>
  <w:style w:type="character" w:styleId="732" w:customStyle="1">
    <w:name w:val="Верхний колонтитул Знак"/>
    <w:uiPriority w:val="99"/>
    <w:qFormat/>
    <w:rPr>
      <w:sz w:val="22"/>
      <w:szCs w:val="22"/>
      <w:lang w:eastAsia="en-US"/>
    </w:rPr>
  </w:style>
  <w:style w:type="character" w:styleId="733" w:customStyle="1">
    <w:name w:val="Нижний колонтитул Знак"/>
    <w:uiPriority w:val="99"/>
    <w:qFormat/>
    <w:rPr>
      <w:sz w:val="22"/>
      <w:szCs w:val="22"/>
      <w:lang w:eastAsia="en-US"/>
    </w:rPr>
  </w:style>
  <w:style w:type="character" w:styleId="734" w:customStyle="1">
    <w:name w:val="s_10"/>
    <w:basedOn w:val="688"/>
    <w:uiPriority w:val="0"/>
    <w:qFormat/>
  </w:style>
  <w:style w:type="character" w:styleId="735" w:customStyle="1">
    <w:name w:val="apple-converted-space"/>
    <w:basedOn w:val="688"/>
    <w:uiPriority w:val="0"/>
    <w:qFormat/>
  </w:style>
  <w:style w:type="character" w:styleId="736" w:customStyle="1">
    <w:name w:val="fontstyle01"/>
    <w:uiPriority w:val="0"/>
    <w:qFormat/>
    <w:rPr>
      <w:rFonts w:ascii="TimesNewRomanPSMT" w:hAnsi="TimesNewRomanPSMT"/>
      <w:color w:val="000000"/>
      <w:sz w:val="28"/>
      <w:szCs w:val="28"/>
    </w:rPr>
  </w:style>
  <w:style w:type="character" w:styleId="737" w:customStyle="1">
    <w:name w:val="Гипертекстовая ссылка"/>
    <w:uiPriority w:val="67"/>
    <w:qFormat/>
    <w:rPr>
      <w:color w:val="106bbe"/>
    </w:rPr>
  </w:style>
  <w:style w:type="paragraph" w:styleId="738">
    <w:name w:val="Заголовок"/>
    <w:basedOn w:val="678"/>
    <w:next w:val="739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39">
    <w:name w:val="Body Text"/>
    <w:basedOn w:val="678"/>
    <w:pPr>
      <w:spacing w:before="0" w:after="140" w:line="276" w:lineRule="auto"/>
    </w:pPr>
  </w:style>
  <w:style w:type="paragraph" w:styleId="740">
    <w:name w:val="List"/>
    <w:basedOn w:val="739"/>
    <w:rPr>
      <w:rFonts w:ascii="PT Astra Serif" w:hAnsi="PT Astra Serif" w:cs="FreeSans"/>
    </w:rPr>
  </w:style>
  <w:style w:type="paragraph" w:styleId="741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42">
    <w:name w:val="Указатель"/>
    <w:basedOn w:val="678"/>
    <w:qFormat/>
    <w:pPr>
      <w:suppressLineNumbers/>
    </w:pPr>
    <w:rPr>
      <w:rFonts w:ascii="PT Astra Serif" w:hAnsi="PT Astra Serif" w:cs="FreeSans"/>
    </w:rPr>
  </w:style>
  <w:style w:type="paragraph" w:styleId="743">
    <w:name w:val="Заголовок (user)"/>
    <w:basedOn w:val="678"/>
    <w:next w:val="739"/>
    <w:qFormat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744">
    <w:name w:val="Указатель (user)"/>
    <w:basedOn w:val="678"/>
    <w:qFormat/>
    <w:pPr>
      <w:suppressLineNumbers/>
    </w:pPr>
    <w:rPr>
      <w:rFonts w:ascii="PT Astra Serif" w:hAnsi="PT Astra Serif" w:cs="FreeSans"/>
    </w:rPr>
  </w:style>
  <w:style w:type="paragraph" w:styleId="745">
    <w:name w:val="Balloon Text"/>
    <w:basedOn w:val="678"/>
    <w:link w:val="731"/>
    <w:uiPriority w:val="99"/>
    <w:semiHidden/>
    <w:unhideWhenUsed/>
    <w:qFormat/>
    <w:pPr>
      <w:spacing w:before="0" w:after="0" w:line="240" w:lineRule="auto"/>
    </w:pPr>
    <w:rPr>
      <w:rFonts w:ascii="Segoe UI" w:hAnsi="Segoe UI"/>
      <w:sz w:val="18"/>
      <w:szCs w:val="18"/>
      <w:lang w:val="en-US"/>
    </w:rPr>
  </w:style>
  <w:style w:type="paragraph" w:styleId="746">
    <w:name w:val="endnote text"/>
    <w:basedOn w:val="678"/>
    <w:link w:val="730"/>
    <w:uiPriority w:val="99"/>
    <w:semiHidden/>
    <w:unhideWhenUsed/>
    <w:qFormat/>
    <w:pPr>
      <w:spacing w:before="0" w:after="0" w:line="240" w:lineRule="auto"/>
    </w:pPr>
    <w:rPr>
      <w:sz w:val="20"/>
    </w:rPr>
  </w:style>
  <w:style w:type="paragraph" w:styleId="747">
    <w:name w:val="footnote text"/>
    <w:basedOn w:val="678"/>
    <w:link w:val="729"/>
    <w:uiPriority w:val="99"/>
    <w:semiHidden/>
    <w:unhideWhenUsed/>
    <w:qFormat/>
    <w:pPr>
      <w:spacing w:before="0" w:after="40" w:line="240" w:lineRule="auto"/>
    </w:pPr>
    <w:rPr>
      <w:sz w:val="18"/>
    </w:rPr>
  </w:style>
  <w:style w:type="paragraph" w:styleId="748">
    <w:name w:val="toc 8"/>
    <w:basedOn w:val="678"/>
    <w:next w:val="678"/>
    <w:uiPriority w:val="39"/>
    <w:unhideWhenUsed/>
    <w:qFormat/>
    <w:pPr>
      <w:ind w:left="1984"/>
      <w:spacing w:before="0" w:after="57"/>
    </w:pPr>
  </w:style>
  <w:style w:type="paragraph" w:styleId="749">
    <w:name w:val="Колонтитулы (user)"/>
    <w:basedOn w:val="678"/>
    <w:qFormat/>
  </w:style>
  <w:style w:type="paragraph" w:styleId="750">
    <w:name w:val="Колонтитулы"/>
    <w:basedOn w:val="678"/>
    <w:qFormat/>
  </w:style>
  <w:style w:type="paragraph" w:styleId="751">
    <w:name w:val="Header"/>
    <w:basedOn w:val="678"/>
    <w:link w:val="732"/>
    <w:uiPriority w:val="99"/>
    <w:unhideWhenUsed/>
    <w:qFormat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752">
    <w:name w:val="toc 9"/>
    <w:basedOn w:val="678"/>
    <w:next w:val="678"/>
    <w:uiPriority w:val="39"/>
    <w:unhideWhenUsed/>
    <w:qFormat/>
    <w:pPr>
      <w:ind w:left="2268"/>
      <w:spacing w:before="0" w:after="57"/>
    </w:pPr>
  </w:style>
  <w:style w:type="paragraph" w:styleId="753">
    <w:name w:val="toc 7"/>
    <w:basedOn w:val="678"/>
    <w:next w:val="678"/>
    <w:uiPriority w:val="39"/>
    <w:unhideWhenUsed/>
    <w:qFormat/>
    <w:pPr>
      <w:ind w:left="1701"/>
      <w:spacing w:before="0" w:after="57"/>
    </w:pPr>
  </w:style>
  <w:style w:type="paragraph" w:styleId="754">
    <w:name w:val="toc 1"/>
    <w:basedOn w:val="678"/>
    <w:next w:val="678"/>
    <w:uiPriority w:val="39"/>
    <w:unhideWhenUsed/>
    <w:qFormat/>
    <w:pPr>
      <w:spacing w:before="0" w:after="57"/>
    </w:pPr>
  </w:style>
  <w:style w:type="paragraph" w:styleId="755">
    <w:name w:val="toc 6"/>
    <w:basedOn w:val="678"/>
    <w:next w:val="678"/>
    <w:uiPriority w:val="39"/>
    <w:unhideWhenUsed/>
    <w:qFormat/>
    <w:pPr>
      <w:ind w:left="1417"/>
      <w:spacing w:before="0" w:after="57"/>
    </w:pPr>
  </w:style>
  <w:style w:type="paragraph" w:styleId="756">
    <w:name w:val="table of figures"/>
    <w:basedOn w:val="678"/>
    <w:next w:val="678"/>
    <w:uiPriority w:val="99"/>
    <w:unhideWhenUsed/>
    <w:qFormat/>
    <w:pPr>
      <w:spacing w:before="0" w:after="0"/>
    </w:pPr>
  </w:style>
  <w:style w:type="paragraph" w:styleId="757">
    <w:name w:val="toc 3"/>
    <w:basedOn w:val="678"/>
    <w:next w:val="678"/>
    <w:uiPriority w:val="39"/>
    <w:unhideWhenUsed/>
    <w:qFormat/>
    <w:pPr>
      <w:ind w:left="567"/>
      <w:spacing w:before="0" w:after="57"/>
    </w:pPr>
  </w:style>
  <w:style w:type="paragraph" w:styleId="758">
    <w:name w:val="toc 2"/>
    <w:basedOn w:val="678"/>
    <w:next w:val="678"/>
    <w:uiPriority w:val="39"/>
    <w:unhideWhenUsed/>
    <w:qFormat/>
    <w:pPr>
      <w:ind w:left="283"/>
      <w:spacing w:before="0" w:after="57"/>
    </w:pPr>
  </w:style>
  <w:style w:type="paragraph" w:styleId="759">
    <w:name w:val="toc 4"/>
    <w:basedOn w:val="678"/>
    <w:next w:val="678"/>
    <w:uiPriority w:val="39"/>
    <w:unhideWhenUsed/>
    <w:qFormat/>
    <w:pPr>
      <w:ind w:left="850"/>
      <w:spacing w:before="0" w:after="57"/>
    </w:pPr>
  </w:style>
  <w:style w:type="paragraph" w:styleId="760">
    <w:name w:val="toc 5"/>
    <w:basedOn w:val="678"/>
    <w:next w:val="678"/>
    <w:uiPriority w:val="39"/>
    <w:unhideWhenUsed/>
    <w:qFormat/>
    <w:pPr>
      <w:ind w:left="1134"/>
      <w:spacing w:before="0" w:after="57"/>
    </w:pPr>
  </w:style>
  <w:style w:type="paragraph" w:styleId="761">
    <w:name w:val="Title"/>
    <w:basedOn w:val="678"/>
    <w:next w:val="678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2">
    <w:name w:val="Footer"/>
    <w:basedOn w:val="678"/>
    <w:link w:val="733"/>
    <w:uiPriority w:val="99"/>
    <w:unhideWhenUsed/>
    <w:qFormat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763">
    <w:name w:val="Subtitle"/>
    <w:basedOn w:val="678"/>
    <w:next w:val="678"/>
    <w:link w:val="723"/>
    <w:uiPriority w:val="11"/>
    <w:qFormat/>
    <w:pPr>
      <w:spacing w:before="200" w:after="200"/>
    </w:pPr>
    <w:rPr>
      <w:sz w:val="24"/>
      <w:szCs w:val="24"/>
    </w:rPr>
  </w:style>
  <w:style w:type="paragraph" w:styleId="764">
    <w:name w:val="List Paragraph"/>
    <w:basedOn w:val="678"/>
    <w:uiPriority w:val="34"/>
    <w:qFormat/>
    <w:pPr>
      <w:contextualSpacing/>
      <w:ind w:left="720"/>
      <w:spacing w:before="0" w:after="160"/>
    </w:pPr>
  </w:style>
  <w:style w:type="paragraph" w:styleId="765">
    <w:name w:val="No Spacing"/>
    <w:basedOn w:val="678"/>
    <w:uiPriority w:val="1"/>
    <w:qFormat/>
    <w:rPr>
      <w:rFonts w:ascii="Calibri" w:hAnsi="Calibri" w:eastAsia="Calibri" w:cs="Times New Roman"/>
      <w:lang w:val="ru-RU" w:eastAsia="zh-CN" w:bidi="ar-SA"/>
    </w:rPr>
  </w:style>
  <w:style w:type="paragraph" w:styleId="766">
    <w:name w:val="Quote"/>
    <w:basedOn w:val="678"/>
    <w:next w:val="678"/>
    <w:link w:val="724"/>
    <w:uiPriority w:val="29"/>
    <w:qFormat/>
    <w:pPr>
      <w:ind w:left="720" w:right="720"/>
    </w:pPr>
    <w:rPr>
      <w:i/>
    </w:rPr>
  </w:style>
  <w:style w:type="paragraph" w:styleId="767">
    <w:name w:val="Intense Quote"/>
    <w:basedOn w:val="678"/>
    <w:next w:val="678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8">
    <w:name w:val="index heading"/>
    <w:basedOn w:val="743"/>
  </w:style>
  <w:style w:type="paragraph" w:styleId="769" w:customStyle="1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770" w:customStyle="1">
    <w:name w:val="ConsPlusNormal"/>
    <w:uiPriority w:val="0"/>
    <w:qFormat/>
    <w:pPr>
      <w:jc w:val="left"/>
      <w:spacing w:before="0" w:after="0"/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ru-RU" w:bidi="ar-SA"/>
    </w:rPr>
  </w:style>
  <w:style w:type="paragraph" w:styleId="771" w:customStyle="1">
    <w:name w:val="1"/>
    <w:basedOn w:val="678"/>
    <w:uiPriority w:val="0"/>
    <w:qFormat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77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"/>
    <w:basedOn w:val="772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4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Plain Table 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Plain Table 2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Plain Table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Plain Table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Plain Table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2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6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"/>
    <w:uiPriority w:val="99"/>
    <w:qFormat/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1"/>
    <w:uiPriority w:val="99"/>
    <w:qFormat/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2"/>
    <w:uiPriority w:val="99"/>
    <w:qFormat/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3"/>
    <w:uiPriority w:val="99"/>
    <w:qFormat/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4"/>
    <w:uiPriority w:val="99"/>
    <w:qFormat/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5"/>
    <w:uiPriority w:val="99"/>
    <w:qFormat/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6"/>
    <w:uiPriority w:val="99"/>
    <w:qFormat/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3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4" Type="http://schemas.openxmlformats.org/officeDocument/2006/relationships/hyperlink" Target="consultantplus://offline/ref=B42F02CB0A7C56274757A77AD630B224BA2AA0F51E9E64FC5D000A06F95D5A958FBB0F0A4BC9D341CDD34B2D3DECA582B54345C15946m7W0J" TargetMode="External"/><Relationship Id="rId15" Type="http://schemas.openxmlformats.org/officeDocument/2006/relationships/hyperlink" Target="consultantplus://offline/ref=B42F02CB0A7C56274757A77AD630B224BA2AA0F51E9E64FC5D000A06F95D5A958FBB0F0A4BC9D341CDD34B2D3DECA582B54345C15946m7W0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dc:description/>
  <dc:language>ru-RU</dc:language>
  <cp:revision>109</cp:revision>
  <dcterms:created xsi:type="dcterms:W3CDTF">2022-12-23T18:10:00Z</dcterms:created>
  <dcterms:modified xsi:type="dcterms:W3CDTF">2026-07-03T06:16:33Z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